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E8919">
      <w:pPr>
        <w:spacing w:line="360" w:lineRule="auto"/>
        <w:jc w:val="center"/>
        <w:outlineLvl w:val="0"/>
        <w:rPr>
          <w:b/>
          <w:sz w:val="36"/>
          <w:szCs w:val="36"/>
          <w:highlight w:val="none"/>
        </w:rPr>
      </w:pPr>
      <w:bookmarkStart w:id="2" w:name="_GoBack"/>
      <w:bookmarkEnd w:id="2"/>
      <w:bookmarkStart w:id="0" w:name="_Toc99301424"/>
      <w:r>
        <w:rPr>
          <w:b/>
          <w:sz w:val="36"/>
          <w:szCs w:val="36"/>
          <w:highlight w:val="none"/>
        </w:rPr>
        <w:t>采购需求</w:t>
      </w:r>
      <w:bookmarkEnd w:id="0"/>
    </w:p>
    <w:p w14:paraId="3A917697">
      <w:pPr>
        <w:spacing w:line="360" w:lineRule="auto"/>
        <w:contextualSpacing/>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rPr>
        <w:t>说明：采购需求中标注★号指标为实质性要求，实质性要求任一项不满足的将被作为无效投标否决。★号标注在序号前，指本序号所有内容均为实质性要求；★号标注在段落前，指仅本段落内容为实质性要求。</w:t>
      </w:r>
    </w:p>
    <w:p w14:paraId="2B0067CD">
      <w:pPr>
        <w:pStyle w:val="6"/>
        <w:numPr>
          <w:ilvl w:val="0"/>
          <w:numId w:val="1"/>
        </w:numPr>
        <w:spacing w:line="360" w:lineRule="auto"/>
        <w:ind w:firstLineChars="0"/>
        <w:contextualSpacing/>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p>
    <w:p w14:paraId="278EB653">
      <w:pPr>
        <w:numPr>
          <w:ilvl w:val="0"/>
          <w:numId w:val="2"/>
        </w:numPr>
        <w:spacing w:line="360" w:lineRule="auto"/>
        <w:contextualSpacing/>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采购标的：</w:t>
      </w:r>
      <w:r>
        <w:rPr>
          <w:rFonts w:hint="eastAsia" w:ascii="宋体" w:hAnsi="宋体" w:eastAsia="宋体" w:cs="宋体"/>
          <w:sz w:val="24"/>
          <w:szCs w:val="24"/>
          <w:highlight w:val="none"/>
          <w:lang w:eastAsia="zh-CN"/>
        </w:rPr>
        <w:t xml:space="preserve">北京市水务应急中心2026年度北京市山区防洪减灾“一张图”建设与应用-政务云租赁采购项目  </w:t>
      </w:r>
    </w:p>
    <w:tbl>
      <w:tblPr>
        <w:tblStyle w:val="4"/>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2"/>
        <w:gridCol w:w="1586"/>
        <w:gridCol w:w="3423"/>
        <w:gridCol w:w="942"/>
        <w:gridCol w:w="996"/>
        <w:gridCol w:w="981"/>
        <w:gridCol w:w="1246"/>
      </w:tblGrid>
      <w:tr w14:paraId="7B1F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7" w:hRule="atLeast"/>
          <w:jc w:val="center"/>
        </w:trPr>
        <w:tc>
          <w:tcPr>
            <w:tcW w:w="1032" w:type="dxa"/>
            <w:shd w:val="clear" w:color="auto" w:fill="auto"/>
            <w:noWrap/>
            <w:vAlign w:val="center"/>
          </w:tcPr>
          <w:p w14:paraId="43DD0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86" w:type="dxa"/>
            <w:shd w:val="clear" w:color="auto" w:fill="auto"/>
            <w:noWrap/>
            <w:vAlign w:val="center"/>
          </w:tcPr>
          <w:p w14:paraId="6251035C">
            <w:pPr>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服务子类</w:t>
            </w:r>
          </w:p>
        </w:tc>
        <w:tc>
          <w:tcPr>
            <w:tcW w:w="3423" w:type="dxa"/>
            <w:shd w:val="clear" w:color="auto" w:fill="auto"/>
            <w:noWrap/>
            <w:vAlign w:val="center"/>
          </w:tcPr>
          <w:p w14:paraId="5094ED44">
            <w:pPr>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服务项</w:t>
            </w:r>
          </w:p>
        </w:tc>
        <w:tc>
          <w:tcPr>
            <w:tcW w:w="942" w:type="dxa"/>
            <w:shd w:val="clear" w:color="auto" w:fill="auto"/>
            <w:noWrap/>
            <w:vAlign w:val="center"/>
          </w:tcPr>
          <w:p w14:paraId="7C3DEC69">
            <w:pPr>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计价单位</w:t>
            </w:r>
          </w:p>
        </w:tc>
        <w:tc>
          <w:tcPr>
            <w:tcW w:w="996" w:type="dxa"/>
            <w:shd w:val="clear" w:color="auto" w:fill="auto"/>
            <w:noWrap/>
            <w:vAlign w:val="center"/>
          </w:tcPr>
          <w:p w14:paraId="46E004A8">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报价单位</w:t>
            </w:r>
          </w:p>
        </w:tc>
        <w:tc>
          <w:tcPr>
            <w:tcW w:w="981" w:type="dxa"/>
            <w:shd w:val="clear" w:color="auto" w:fill="auto"/>
            <w:noWrap/>
            <w:vAlign w:val="center"/>
          </w:tcPr>
          <w:p w14:paraId="1D0808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246" w:type="dxa"/>
            <w:shd w:val="clear" w:color="auto" w:fill="auto"/>
            <w:noWrap/>
            <w:vAlign w:val="center"/>
          </w:tcPr>
          <w:p w14:paraId="309C76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租用期限（月）</w:t>
            </w:r>
          </w:p>
        </w:tc>
      </w:tr>
      <w:tr w14:paraId="2A5F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jc w:val="center"/>
        </w:trPr>
        <w:tc>
          <w:tcPr>
            <w:tcW w:w="1032" w:type="dxa"/>
            <w:shd w:val="clear" w:color="auto" w:fill="auto"/>
            <w:noWrap/>
            <w:vAlign w:val="center"/>
          </w:tcPr>
          <w:p w14:paraId="591D59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6" w:type="dxa"/>
            <w:vMerge w:val="restart"/>
            <w:shd w:val="clear" w:color="auto" w:fill="auto"/>
            <w:noWrap/>
            <w:vAlign w:val="center"/>
          </w:tcPr>
          <w:p w14:paraId="41B832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平台云主机服务（包含X86、ARM、C86）</w:t>
            </w:r>
          </w:p>
        </w:tc>
        <w:tc>
          <w:tcPr>
            <w:tcW w:w="3423" w:type="dxa"/>
            <w:shd w:val="clear" w:color="auto" w:fill="auto"/>
            <w:vAlign w:val="center"/>
          </w:tcPr>
          <w:p w14:paraId="66A6B0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vCPU（vCPU ARM架构主频不低于2.4GHz，C86和x86主频不低于2.2GHz，平均虚拟化率，即物理CPU/虚拟CPU≥1/4，虚拟CPU利用率不低于物理CPU的25% ）</w:t>
            </w:r>
          </w:p>
        </w:tc>
        <w:tc>
          <w:tcPr>
            <w:tcW w:w="942" w:type="dxa"/>
            <w:shd w:val="clear" w:color="auto" w:fill="auto"/>
            <w:vAlign w:val="center"/>
          </w:tcPr>
          <w:p w14:paraId="37012F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1vCPU</w:t>
            </w:r>
          </w:p>
        </w:tc>
        <w:tc>
          <w:tcPr>
            <w:tcW w:w="996" w:type="dxa"/>
            <w:shd w:val="clear" w:color="auto" w:fill="auto"/>
            <w:vAlign w:val="center"/>
          </w:tcPr>
          <w:p w14:paraId="3B341D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40033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656</w:t>
            </w:r>
          </w:p>
        </w:tc>
        <w:tc>
          <w:tcPr>
            <w:tcW w:w="1246" w:type="dxa"/>
            <w:shd w:val="clear" w:color="auto" w:fill="auto"/>
            <w:noWrap/>
            <w:vAlign w:val="center"/>
          </w:tcPr>
          <w:p w14:paraId="0D9B0D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C3F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32" w:type="dxa"/>
            <w:shd w:val="clear" w:color="auto" w:fill="auto"/>
            <w:noWrap/>
            <w:vAlign w:val="center"/>
          </w:tcPr>
          <w:p w14:paraId="629CC5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86" w:type="dxa"/>
            <w:vMerge w:val="continue"/>
            <w:shd w:val="clear" w:color="auto" w:fill="auto"/>
            <w:noWrap/>
            <w:vAlign w:val="center"/>
          </w:tcPr>
          <w:p w14:paraId="5F006377">
            <w:pPr>
              <w:jc w:val="left"/>
              <w:rPr>
                <w:rFonts w:hint="eastAsia" w:ascii="宋体" w:hAnsi="宋体" w:eastAsia="宋体" w:cs="宋体"/>
                <w:i w:val="0"/>
                <w:iCs w:val="0"/>
                <w:color w:val="000000"/>
                <w:sz w:val="24"/>
                <w:szCs w:val="24"/>
                <w:highlight w:val="none"/>
                <w:u w:val="none"/>
              </w:rPr>
            </w:pPr>
          </w:p>
        </w:tc>
        <w:tc>
          <w:tcPr>
            <w:tcW w:w="3423" w:type="dxa"/>
            <w:shd w:val="clear" w:color="auto" w:fill="auto"/>
            <w:noWrap/>
            <w:vAlign w:val="center"/>
          </w:tcPr>
          <w:p w14:paraId="1D1766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w:t>
            </w:r>
          </w:p>
        </w:tc>
        <w:tc>
          <w:tcPr>
            <w:tcW w:w="942" w:type="dxa"/>
            <w:shd w:val="clear" w:color="auto" w:fill="auto"/>
            <w:vAlign w:val="center"/>
          </w:tcPr>
          <w:p w14:paraId="189511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1GB</w:t>
            </w:r>
          </w:p>
        </w:tc>
        <w:tc>
          <w:tcPr>
            <w:tcW w:w="996" w:type="dxa"/>
            <w:shd w:val="clear" w:color="auto" w:fill="auto"/>
            <w:vAlign w:val="center"/>
          </w:tcPr>
          <w:p w14:paraId="4C0E18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41129D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2152</w:t>
            </w:r>
          </w:p>
        </w:tc>
        <w:tc>
          <w:tcPr>
            <w:tcW w:w="1246" w:type="dxa"/>
            <w:shd w:val="clear" w:color="auto" w:fill="auto"/>
            <w:noWrap/>
            <w:vAlign w:val="center"/>
          </w:tcPr>
          <w:p w14:paraId="5C4AA2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C6E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01C7B8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86" w:type="dxa"/>
            <w:shd w:val="clear" w:color="auto" w:fill="auto"/>
            <w:vAlign w:val="center"/>
          </w:tcPr>
          <w:p w14:paraId="51774B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物理服务器租用服务（包含X86、ARM、C86）</w:t>
            </w:r>
          </w:p>
        </w:tc>
        <w:tc>
          <w:tcPr>
            <w:tcW w:w="3423" w:type="dxa"/>
            <w:shd w:val="clear" w:color="auto" w:fill="auto"/>
            <w:vAlign w:val="center"/>
          </w:tcPr>
          <w:p w14:paraId="0C7E7B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配置1：双路每CPU核数≥32核，主频≥2.0GHz，128G内存，2块600GSAS硕盘，2个HBA卡，2个万兆端口</w:t>
            </w:r>
          </w:p>
        </w:tc>
        <w:tc>
          <w:tcPr>
            <w:tcW w:w="942" w:type="dxa"/>
            <w:shd w:val="clear" w:color="auto" w:fill="auto"/>
            <w:vAlign w:val="center"/>
          </w:tcPr>
          <w:p w14:paraId="7255A4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996" w:type="dxa"/>
            <w:shd w:val="clear" w:color="auto" w:fill="auto"/>
            <w:vAlign w:val="center"/>
          </w:tcPr>
          <w:p w14:paraId="061F2E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4EAD6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46" w:type="dxa"/>
            <w:shd w:val="clear" w:color="auto" w:fill="auto"/>
            <w:noWrap/>
            <w:vAlign w:val="center"/>
          </w:tcPr>
          <w:p w14:paraId="252DA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1477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323A9D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86" w:type="dxa"/>
            <w:shd w:val="clear" w:color="auto" w:fill="auto"/>
            <w:vAlign w:val="center"/>
          </w:tcPr>
          <w:p w14:paraId="4EA60D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物理服务器增配服务（包含X86、ARM、C86）</w:t>
            </w:r>
          </w:p>
        </w:tc>
        <w:tc>
          <w:tcPr>
            <w:tcW w:w="3423" w:type="dxa"/>
            <w:shd w:val="clear" w:color="auto" w:fill="auto"/>
            <w:vAlign w:val="center"/>
          </w:tcPr>
          <w:p w14:paraId="521DAB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内存-32GB内存</w:t>
            </w:r>
          </w:p>
        </w:tc>
        <w:tc>
          <w:tcPr>
            <w:tcW w:w="942" w:type="dxa"/>
            <w:shd w:val="clear" w:color="auto" w:fill="auto"/>
            <w:vAlign w:val="center"/>
          </w:tcPr>
          <w:p w14:paraId="58E09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1条</w:t>
            </w:r>
          </w:p>
        </w:tc>
        <w:tc>
          <w:tcPr>
            <w:tcW w:w="996" w:type="dxa"/>
            <w:shd w:val="clear" w:color="auto" w:fill="auto"/>
            <w:vAlign w:val="center"/>
          </w:tcPr>
          <w:p w14:paraId="2BEA0E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4003D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1246" w:type="dxa"/>
            <w:shd w:val="clear" w:color="auto" w:fill="auto"/>
            <w:noWrap/>
            <w:vAlign w:val="center"/>
          </w:tcPr>
          <w:p w14:paraId="68FEC3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E2B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0D88DB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86" w:type="dxa"/>
            <w:shd w:val="clear" w:color="auto" w:fill="auto"/>
            <w:vAlign w:val="center"/>
          </w:tcPr>
          <w:p w14:paraId="4E8199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物理服务器增配服务（包含X86、ARM、C86）</w:t>
            </w:r>
          </w:p>
        </w:tc>
        <w:tc>
          <w:tcPr>
            <w:tcW w:w="3423" w:type="dxa"/>
            <w:shd w:val="clear" w:color="auto" w:fill="auto"/>
            <w:vAlign w:val="center"/>
          </w:tcPr>
          <w:p w14:paraId="3B4446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硬盘配置1-480GB SSD</w:t>
            </w:r>
          </w:p>
        </w:tc>
        <w:tc>
          <w:tcPr>
            <w:tcW w:w="942" w:type="dxa"/>
            <w:shd w:val="clear" w:color="auto" w:fill="auto"/>
            <w:vAlign w:val="center"/>
          </w:tcPr>
          <w:p w14:paraId="0344F4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c>
          <w:tcPr>
            <w:tcW w:w="996" w:type="dxa"/>
            <w:shd w:val="clear" w:color="auto" w:fill="auto"/>
            <w:vAlign w:val="center"/>
          </w:tcPr>
          <w:p w14:paraId="74A11B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027537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246" w:type="dxa"/>
            <w:shd w:val="clear" w:color="auto" w:fill="auto"/>
            <w:noWrap/>
            <w:vAlign w:val="center"/>
          </w:tcPr>
          <w:p w14:paraId="4EE7CD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B3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516413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86" w:type="dxa"/>
            <w:shd w:val="clear" w:color="auto" w:fill="auto"/>
            <w:vAlign w:val="center"/>
          </w:tcPr>
          <w:p w14:paraId="1823E5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物理服务器增配服务（包含X86、ARM、C86）</w:t>
            </w:r>
          </w:p>
        </w:tc>
        <w:tc>
          <w:tcPr>
            <w:tcW w:w="3423" w:type="dxa"/>
            <w:shd w:val="clear" w:color="auto" w:fill="auto"/>
            <w:vAlign w:val="center"/>
          </w:tcPr>
          <w:p w14:paraId="08A250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硬盘配置2-4TB SATA</w:t>
            </w:r>
          </w:p>
        </w:tc>
        <w:tc>
          <w:tcPr>
            <w:tcW w:w="942" w:type="dxa"/>
            <w:shd w:val="clear" w:color="auto" w:fill="auto"/>
            <w:vAlign w:val="center"/>
          </w:tcPr>
          <w:p w14:paraId="7CCC53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c>
          <w:tcPr>
            <w:tcW w:w="996" w:type="dxa"/>
            <w:shd w:val="clear" w:color="auto" w:fill="auto"/>
            <w:vAlign w:val="center"/>
          </w:tcPr>
          <w:p w14:paraId="55E65B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51A5D2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246" w:type="dxa"/>
            <w:shd w:val="clear" w:color="auto" w:fill="auto"/>
            <w:noWrap/>
            <w:vAlign w:val="center"/>
          </w:tcPr>
          <w:p w14:paraId="3EAD5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1F09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53FBD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86" w:type="dxa"/>
            <w:shd w:val="clear" w:color="auto" w:fill="auto"/>
            <w:vAlign w:val="center"/>
          </w:tcPr>
          <w:p w14:paraId="0F60FA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GPU卡算力服务（适配X86、ARM、C86）</w:t>
            </w:r>
          </w:p>
        </w:tc>
        <w:tc>
          <w:tcPr>
            <w:tcW w:w="3423" w:type="dxa"/>
            <w:shd w:val="clear" w:color="auto" w:fill="auto"/>
            <w:vAlign w:val="center"/>
          </w:tcPr>
          <w:p w14:paraId="69AE26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GPU显存（需同时租用算力资源、云主机或物理服务器资源，联合使用）</w:t>
            </w:r>
          </w:p>
        </w:tc>
        <w:tc>
          <w:tcPr>
            <w:tcW w:w="942" w:type="dxa"/>
            <w:shd w:val="clear" w:color="auto" w:fill="auto"/>
            <w:vAlign w:val="center"/>
          </w:tcPr>
          <w:p w14:paraId="494780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1GB</w:t>
            </w:r>
          </w:p>
        </w:tc>
        <w:tc>
          <w:tcPr>
            <w:tcW w:w="996" w:type="dxa"/>
            <w:shd w:val="clear" w:color="auto" w:fill="auto"/>
            <w:vAlign w:val="center"/>
          </w:tcPr>
          <w:p w14:paraId="06E324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280DEC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1024</w:t>
            </w:r>
          </w:p>
        </w:tc>
        <w:tc>
          <w:tcPr>
            <w:tcW w:w="1246" w:type="dxa"/>
            <w:shd w:val="clear" w:color="auto" w:fill="auto"/>
            <w:noWrap/>
            <w:vAlign w:val="center"/>
          </w:tcPr>
          <w:p w14:paraId="39094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9AF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5D4BD6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86" w:type="dxa"/>
            <w:shd w:val="clear" w:color="auto" w:fill="auto"/>
            <w:vAlign w:val="center"/>
          </w:tcPr>
          <w:p w14:paraId="0F8E34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GPU卡算力服务（适配X86、ARM、C86）</w:t>
            </w:r>
          </w:p>
        </w:tc>
        <w:tc>
          <w:tcPr>
            <w:tcW w:w="3423" w:type="dxa"/>
            <w:shd w:val="clear" w:color="auto" w:fill="auto"/>
            <w:vAlign w:val="center"/>
          </w:tcPr>
          <w:p w14:paraId="0F157B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半精度浮点运算能力（需同时租用GPU显存、云主机或物理服务器资源，联合使用）</w:t>
            </w:r>
          </w:p>
        </w:tc>
        <w:tc>
          <w:tcPr>
            <w:tcW w:w="942" w:type="dxa"/>
            <w:shd w:val="clear" w:color="auto" w:fill="auto"/>
            <w:vAlign w:val="center"/>
          </w:tcPr>
          <w:p w14:paraId="517ABE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1TFLOPS</w:t>
            </w:r>
          </w:p>
        </w:tc>
        <w:tc>
          <w:tcPr>
            <w:tcW w:w="996" w:type="dxa"/>
            <w:shd w:val="clear" w:color="auto" w:fill="auto"/>
            <w:vAlign w:val="center"/>
          </w:tcPr>
          <w:p w14:paraId="4F1F28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198C2A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4992</w:t>
            </w:r>
          </w:p>
        </w:tc>
        <w:tc>
          <w:tcPr>
            <w:tcW w:w="1246" w:type="dxa"/>
            <w:shd w:val="clear" w:color="auto" w:fill="auto"/>
            <w:noWrap/>
            <w:vAlign w:val="center"/>
          </w:tcPr>
          <w:p w14:paraId="1F9FC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73C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5FA119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86" w:type="dxa"/>
            <w:shd w:val="clear" w:color="auto" w:fill="auto"/>
            <w:vAlign w:val="center"/>
          </w:tcPr>
          <w:p w14:paraId="77608B3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普通存储</w:t>
            </w:r>
          </w:p>
        </w:tc>
        <w:tc>
          <w:tcPr>
            <w:tcW w:w="3423" w:type="dxa"/>
            <w:shd w:val="clear" w:color="auto" w:fill="auto"/>
            <w:vAlign w:val="center"/>
          </w:tcPr>
          <w:p w14:paraId="74D85AF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单盘技术指标: 单盘IOPS 2000-5000</w:t>
            </w:r>
          </w:p>
        </w:tc>
        <w:tc>
          <w:tcPr>
            <w:tcW w:w="942" w:type="dxa"/>
            <w:shd w:val="clear" w:color="auto" w:fill="auto"/>
            <w:vAlign w:val="center"/>
          </w:tcPr>
          <w:p w14:paraId="1FDC2F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100GB</w:t>
            </w:r>
          </w:p>
        </w:tc>
        <w:tc>
          <w:tcPr>
            <w:tcW w:w="996" w:type="dxa"/>
            <w:shd w:val="clear" w:color="auto" w:fill="auto"/>
            <w:vAlign w:val="center"/>
          </w:tcPr>
          <w:p w14:paraId="3C9CE8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0B2394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341.08</w:t>
            </w:r>
          </w:p>
        </w:tc>
        <w:tc>
          <w:tcPr>
            <w:tcW w:w="1246" w:type="dxa"/>
            <w:shd w:val="clear" w:color="auto" w:fill="auto"/>
            <w:noWrap/>
            <w:vAlign w:val="center"/>
          </w:tcPr>
          <w:p w14:paraId="7817FD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14:paraId="190F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10700E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86" w:type="dxa"/>
            <w:shd w:val="clear" w:color="auto" w:fill="auto"/>
            <w:vAlign w:val="center"/>
          </w:tcPr>
          <w:p w14:paraId="2F6EC41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高性能存储</w:t>
            </w:r>
          </w:p>
        </w:tc>
        <w:tc>
          <w:tcPr>
            <w:tcW w:w="3423" w:type="dxa"/>
            <w:shd w:val="clear" w:color="auto" w:fill="auto"/>
            <w:vAlign w:val="center"/>
          </w:tcPr>
          <w:p w14:paraId="7417E6D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单盘技术指标：单盘IOPS 10000-25000</w:t>
            </w:r>
          </w:p>
        </w:tc>
        <w:tc>
          <w:tcPr>
            <w:tcW w:w="942" w:type="dxa"/>
            <w:shd w:val="clear" w:color="auto" w:fill="auto"/>
            <w:vAlign w:val="center"/>
          </w:tcPr>
          <w:p w14:paraId="2825F4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100GB</w:t>
            </w:r>
          </w:p>
        </w:tc>
        <w:tc>
          <w:tcPr>
            <w:tcW w:w="996" w:type="dxa"/>
            <w:shd w:val="clear" w:color="auto" w:fill="auto"/>
            <w:vAlign w:val="center"/>
          </w:tcPr>
          <w:p w14:paraId="283B51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4976CE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98.64</w:t>
            </w:r>
          </w:p>
        </w:tc>
        <w:tc>
          <w:tcPr>
            <w:tcW w:w="1246" w:type="dxa"/>
            <w:shd w:val="clear" w:color="auto" w:fill="auto"/>
            <w:noWrap/>
            <w:vAlign w:val="center"/>
          </w:tcPr>
          <w:p w14:paraId="2064E2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14:paraId="256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6CC659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86" w:type="dxa"/>
            <w:shd w:val="clear" w:color="auto" w:fill="auto"/>
            <w:vAlign w:val="center"/>
          </w:tcPr>
          <w:p w14:paraId="6361E4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静态存储</w:t>
            </w:r>
          </w:p>
        </w:tc>
        <w:tc>
          <w:tcPr>
            <w:tcW w:w="3423" w:type="dxa"/>
            <w:shd w:val="clear" w:color="auto" w:fill="auto"/>
            <w:vAlign w:val="center"/>
          </w:tcPr>
          <w:p w14:paraId="74F88B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提供大容量、高可靠的数据存储服务，具备PB级线性扩展能力</w:t>
            </w:r>
          </w:p>
        </w:tc>
        <w:tc>
          <w:tcPr>
            <w:tcW w:w="942" w:type="dxa"/>
            <w:shd w:val="clear" w:color="auto" w:fill="auto"/>
            <w:vAlign w:val="center"/>
          </w:tcPr>
          <w:p w14:paraId="206CF9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1TB</w:t>
            </w:r>
          </w:p>
        </w:tc>
        <w:tc>
          <w:tcPr>
            <w:tcW w:w="996" w:type="dxa"/>
            <w:shd w:val="clear" w:color="auto" w:fill="auto"/>
            <w:vAlign w:val="center"/>
          </w:tcPr>
          <w:p w14:paraId="4EB7B5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19292E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244.7832</w:t>
            </w:r>
          </w:p>
        </w:tc>
        <w:tc>
          <w:tcPr>
            <w:tcW w:w="1246" w:type="dxa"/>
            <w:shd w:val="clear" w:color="auto" w:fill="auto"/>
            <w:noWrap/>
            <w:vAlign w:val="center"/>
          </w:tcPr>
          <w:p w14:paraId="6020B9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14:paraId="0491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44AE69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86" w:type="dxa"/>
            <w:shd w:val="clear" w:color="auto" w:fill="auto"/>
            <w:vAlign w:val="center"/>
          </w:tcPr>
          <w:p w14:paraId="3531EAB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本地备份服务</w:t>
            </w:r>
          </w:p>
        </w:tc>
        <w:tc>
          <w:tcPr>
            <w:tcW w:w="3423" w:type="dxa"/>
            <w:shd w:val="clear" w:color="auto" w:fill="auto"/>
            <w:vAlign w:val="center"/>
          </w:tcPr>
          <w:p w14:paraId="29BF8D8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本地备份服务</w:t>
            </w:r>
          </w:p>
        </w:tc>
        <w:tc>
          <w:tcPr>
            <w:tcW w:w="942" w:type="dxa"/>
            <w:shd w:val="clear" w:color="auto" w:fill="auto"/>
            <w:vAlign w:val="center"/>
          </w:tcPr>
          <w:p w14:paraId="0E0334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100GB</w:t>
            </w:r>
          </w:p>
        </w:tc>
        <w:tc>
          <w:tcPr>
            <w:tcW w:w="996" w:type="dxa"/>
            <w:shd w:val="clear" w:color="auto" w:fill="auto"/>
            <w:vAlign w:val="center"/>
          </w:tcPr>
          <w:p w14:paraId="07AAC6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6526FCB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455.832</w:t>
            </w:r>
          </w:p>
        </w:tc>
        <w:tc>
          <w:tcPr>
            <w:tcW w:w="1246" w:type="dxa"/>
            <w:shd w:val="clear" w:color="auto" w:fill="auto"/>
            <w:noWrap/>
            <w:vAlign w:val="center"/>
          </w:tcPr>
          <w:p w14:paraId="3C321C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14:paraId="59F7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0CA8DA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86" w:type="dxa"/>
            <w:shd w:val="clear" w:color="auto" w:fill="auto"/>
            <w:vAlign w:val="center"/>
          </w:tcPr>
          <w:p w14:paraId="6C2CDC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基础软件支撑服务</w:t>
            </w:r>
          </w:p>
        </w:tc>
        <w:tc>
          <w:tcPr>
            <w:tcW w:w="3423" w:type="dxa"/>
            <w:shd w:val="clear" w:color="auto" w:fill="auto"/>
            <w:vAlign w:val="center"/>
          </w:tcPr>
          <w:p w14:paraId="63C6F3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操作系统套餐：国产Linux套餐：国产Linux操作系统服务租用、安装及维护。</w:t>
            </w:r>
          </w:p>
        </w:tc>
        <w:tc>
          <w:tcPr>
            <w:tcW w:w="942" w:type="dxa"/>
            <w:shd w:val="clear" w:color="auto" w:fill="auto"/>
            <w:vAlign w:val="center"/>
          </w:tcPr>
          <w:p w14:paraId="0727A8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1套</w:t>
            </w:r>
          </w:p>
        </w:tc>
        <w:tc>
          <w:tcPr>
            <w:tcW w:w="996" w:type="dxa"/>
            <w:shd w:val="clear" w:color="auto" w:fill="auto"/>
            <w:vAlign w:val="center"/>
          </w:tcPr>
          <w:p w14:paraId="3AC7A4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6828B7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246" w:type="dxa"/>
            <w:shd w:val="clear" w:color="auto" w:fill="auto"/>
            <w:noWrap/>
            <w:vAlign w:val="center"/>
          </w:tcPr>
          <w:p w14:paraId="40B5E6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B81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336FAC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86" w:type="dxa"/>
            <w:vMerge w:val="restart"/>
            <w:shd w:val="clear" w:color="auto" w:fill="auto"/>
            <w:vAlign w:val="center"/>
          </w:tcPr>
          <w:p w14:paraId="4B433E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安全服务</w:t>
            </w:r>
          </w:p>
        </w:tc>
        <w:tc>
          <w:tcPr>
            <w:tcW w:w="3423" w:type="dxa"/>
            <w:shd w:val="clear" w:color="auto" w:fill="auto"/>
            <w:vAlign w:val="center"/>
          </w:tcPr>
          <w:p w14:paraId="21146A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主机杀毒服务：对云主机进行定期的病毒查杀，杀毒软件集中控制，对网络性能无影响。</w:t>
            </w:r>
          </w:p>
        </w:tc>
        <w:tc>
          <w:tcPr>
            <w:tcW w:w="942" w:type="dxa"/>
            <w:shd w:val="clear" w:color="auto" w:fill="auto"/>
            <w:vAlign w:val="center"/>
          </w:tcPr>
          <w:p w14:paraId="1BA66D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996" w:type="dxa"/>
            <w:shd w:val="clear" w:color="auto" w:fill="auto"/>
            <w:vAlign w:val="center"/>
          </w:tcPr>
          <w:p w14:paraId="1D73F2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元/月</w:t>
            </w:r>
          </w:p>
        </w:tc>
        <w:tc>
          <w:tcPr>
            <w:tcW w:w="981" w:type="dxa"/>
            <w:shd w:val="clear" w:color="auto" w:fill="auto"/>
            <w:vAlign w:val="center"/>
          </w:tcPr>
          <w:p w14:paraId="04A4ED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246" w:type="dxa"/>
            <w:shd w:val="clear" w:color="auto" w:fill="auto"/>
            <w:noWrap/>
            <w:vAlign w:val="center"/>
          </w:tcPr>
          <w:p w14:paraId="11FFA2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502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6A3A2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86" w:type="dxa"/>
            <w:vMerge w:val="continue"/>
            <w:shd w:val="clear" w:color="auto" w:fill="auto"/>
            <w:vAlign w:val="center"/>
          </w:tcPr>
          <w:p w14:paraId="109FFFE3">
            <w:pPr>
              <w:jc w:val="left"/>
              <w:rPr>
                <w:rFonts w:hint="eastAsia" w:ascii="宋体" w:hAnsi="宋体" w:eastAsia="宋体" w:cs="宋体"/>
                <w:i w:val="0"/>
                <w:iCs w:val="0"/>
                <w:color w:val="000000"/>
                <w:sz w:val="24"/>
                <w:szCs w:val="24"/>
                <w:highlight w:val="none"/>
                <w:u w:val="none"/>
              </w:rPr>
            </w:pPr>
          </w:p>
        </w:tc>
        <w:tc>
          <w:tcPr>
            <w:tcW w:w="3423" w:type="dxa"/>
            <w:shd w:val="clear" w:color="auto" w:fill="auto"/>
            <w:vAlign w:val="center"/>
          </w:tcPr>
          <w:p w14:paraId="1398A1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主机安全加固：针对漏扫或等级测评结果对操作系统进行安全加固，用以解决等级测评结果中所显示的漏洞。</w:t>
            </w:r>
          </w:p>
        </w:tc>
        <w:tc>
          <w:tcPr>
            <w:tcW w:w="942" w:type="dxa"/>
            <w:shd w:val="clear" w:color="auto" w:fill="auto"/>
            <w:vAlign w:val="center"/>
          </w:tcPr>
          <w:p w14:paraId="6E435B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1次</w:t>
            </w:r>
          </w:p>
        </w:tc>
        <w:tc>
          <w:tcPr>
            <w:tcW w:w="996" w:type="dxa"/>
            <w:shd w:val="clear" w:color="auto" w:fill="auto"/>
            <w:vAlign w:val="center"/>
          </w:tcPr>
          <w:p w14:paraId="53464B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元/次</w:t>
            </w:r>
          </w:p>
        </w:tc>
        <w:tc>
          <w:tcPr>
            <w:tcW w:w="981" w:type="dxa"/>
            <w:shd w:val="clear" w:color="auto" w:fill="auto"/>
            <w:vAlign w:val="center"/>
          </w:tcPr>
          <w:p w14:paraId="680712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1246" w:type="dxa"/>
            <w:shd w:val="clear" w:color="auto" w:fill="auto"/>
            <w:noWrap/>
            <w:vAlign w:val="center"/>
          </w:tcPr>
          <w:p w14:paraId="1AA09A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7B8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032" w:type="dxa"/>
            <w:shd w:val="clear" w:color="auto" w:fill="auto"/>
            <w:noWrap/>
            <w:vAlign w:val="center"/>
          </w:tcPr>
          <w:p w14:paraId="3FF752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86" w:type="dxa"/>
            <w:vMerge w:val="restart"/>
            <w:shd w:val="clear" w:color="auto" w:fill="auto"/>
            <w:vAlign w:val="center"/>
          </w:tcPr>
          <w:p w14:paraId="23136A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安全检测、监测、审计服务</w:t>
            </w:r>
          </w:p>
        </w:tc>
        <w:tc>
          <w:tcPr>
            <w:tcW w:w="3423" w:type="dxa"/>
            <w:shd w:val="clear" w:color="auto" w:fill="auto"/>
            <w:vAlign w:val="center"/>
          </w:tcPr>
          <w:p w14:paraId="6171A0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主机漏洞扫描：为用户提供针对主机层面的安全扫描服务，并反馈相关结果。</w:t>
            </w:r>
          </w:p>
        </w:tc>
        <w:tc>
          <w:tcPr>
            <w:tcW w:w="942" w:type="dxa"/>
            <w:shd w:val="clear" w:color="auto" w:fill="auto"/>
            <w:vAlign w:val="center"/>
          </w:tcPr>
          <w:p w14:paraId="5F3A22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1次</w:t>
            </w:r>
          </w:p>
        </w:tc>
        <w:tc>
          <w:tcPr>
            <w:tcW w:w="996" w:type="dxa"/>
            <w:shd w:val="clear" w:color="auto" w:fill="auto"/>
            <w:vAlign w:val="center"/>
          </w:tcPr>
          <w:p w14:paraId="799B85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元/次</w:t>
            </w:r>
          </w:p>
        </w:tc>
        <w:tc>
          <w:tcPr>
            <w:tcW w:w="981" w:type="dxa"/>
            <w:shd w:val="clear" w:color="auto" w:fill="auto"/>
            <w:vAlign w:val="center"/>
          </w:tcPr>
          <w:p w14:paraId="499B07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246" w:type="dxa"/>
            <w:shd w:val="clear" w:color="auto" w:fill="auto"/>
            <w:noWrap/>
            <w:vAlign w:val="center"/>
          </w:tcPr>
          <w:p w14:paraId="70BF9F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2D99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2" w:type="dxa"/>
            <w:shd w:val="clear" w:color="auto" w:fill="auto"/>
            <w:noWrap/>
            <w:vAlign w:val="center"/>
          </w:tcPr>
          <w:p w14:paraId="2606C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86" w:type="dxa"/>
            <w:vMerge w:val="continue"/>
            <w:shd w:val="clear" w:color="auto" w:fill="auto"/>
            <w:vAlign w:val="center"/>
          </w:tcPr>
          <w:p w14:paraId="7A9CBBC2">
            <w:pPr>
              <w:jc w:val="left"/>
              <w:rPr>
                <w:rFonts w:hint="eastAsia" w:ascii="宋体" w:hAnsi="宋体" w:eastAsia="宋体" w:cs="宋体"/>
                <w:i w:val="0"/>
                <w:iCs w:val="0"/>
                <w:color w:val="000000"/>
                <w:sz w:val="24"/>
                <w:szCs w:val="24"/>
                <w:highlight w:val="none"/>
                <w:u w:val="none"/>
              </w:rPr>
            </w:pPr>
          </w:p>
        </w:tc>
        <w:tc>
          <w:tcPr>
            <w:tcW w:w="3423" w:type="dxa"/>
            <w:shd w:val="clear" w:color="auto" w:fill="auto"/>
            <w:vAlign w:val="center"/>
          </w:tcPr>
          <w:p w14:paraId="10A604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主机日志分析：针对操作系统进行日志收集，并且进行分析，并将结果反馈给用户，用于了解主机安全情况及资源使用情况</w:t>
            </w:r>
          </w:p>
        </w:tc>
        <w:tc>
          <w:tcPr>
            <w:tcW w:w="942" w:type="dxa"/>
            <w:shd w:val="clear" w:color="auto" w:fill="auto"/>
            <w:vAlign w:val="center"/>
          </w:tcPr>
          <w:p w14:paraId="2B1B80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1次</w:t>
            </w:r>
          </w:p>
        </w:tc>
        <w:tc>
          <w:tcPr>
            <w:tcW w:w="996" w:type="dxa"/>
            <w:shd w:val="clear" w:color="auto" w:fill="auto"/>
            <w:vAlign w:val="center"/>
          </w:tcPr>
          <w:p w14:paraId="0EAF80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元/次</w:t>
            </w:r>
          </w:p>
        </w:tc>
        <w:tc>
          <w:tcPr>
            <w:tcW w:w="981" w:type="dxa"/>
            <w:shd w:val="clear" w:color="auto" w:fill="auto"/>
            <w:vAlign w:val="center"/>
          </w:tcPr>
          <w:p w14:paraId="1DC3A7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46" w:type="dxa"/>
            <w:shd w:val="clear" w:color="auto" w:fill="auto"/>
            <w:noWrap/>
            <w:vAlign w:val="center"/>
          </w:tcPr>
          <w:p w14:paraId="28ADFC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bl>
    <w:p w14:paraId="3A124D3F">
      <w:pPr>
        <w:numPr>
          <w:ilvl w:val="0"/>
          <w:numId w:val="2"/>
        </w:numPr>
        <w:spacing w:line="360" w:lineRule="auto"/>
        <w:ind w:left="0" w:leftChars="0" w:firstLine="0" w:firstLineChars="0"/>
        <w:contextualSpacing/>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项目背景</w:t>
      </w:r>
    </w:p>
    <w:p w14:paraId="03F249BD">
      <w:pPr>
        <w:adjustRightInd w:val="0"/>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北京市水务应急中心2026年度北京市山区防洪减灾“一张图”建设与应用项目是市水务局落实市委市政府防汛部署的核心工程，以数据整合、精准预警、分级应用、云化保障为核心，筑牢首都山区防洪安全防线。</w:t>
      </w:r>
    </w:p>
    <w:p w14:paraId="27E9FCC2">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为贯彻落实北京市经济和信息化局关于印发《北京市市级政务云管理办法的通知》（京经信委函（2019）150号）文件的要求</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有效保障北京市山区防洪减灾“一张图”信息系统的稳定运行，充分发挥政务云弹性伸缩、服务灵活的优势，</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租用北京市级政务云服务，为系统提供动态灵活、安全可靠的政务云服务保障。</w:t>
      </w:r>
    </w:p>
    <w:p w14:paraId="15A44ECB">
      <w:pPr>
        <w:pStyle w:val="6"/>
        <w:numPr>
          <w:ilvl w:val="0"/>
          <w:numId w:val="0"/>
        </w:numPr>
        <w:spacing w:line="360" w:lineRule="auto"/>
        <w:ind w:firstLine="0" w:firstLineChars="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（三）品目限价</w:t>
      </w:r>
    </w:p>
    <w:p w14:paraId="4A448E96">
      <w:pPr>
        <w:adjustRightInd w:val="0"/>
        <w:snapToGrid w:val="0"/>
        <w:spacing w:line="360" w:lineRule="auto"/>
        <w:ind w:firstLine="480" w:firstLineChars="200"/>
        <w:rPr>
          <w:highlight w:val="none"/>
        </w:rPr>
      </w:pPr>
      <w:r>
        <w:rPr>
          <w:rFonts w:hint="eastAsia" w:ascii="宋体" w:hAnsi="宋体" w:eastAsia="宋体" w:cs="宋体"/>
          <w:bCs/>
          <w:sz w:val="24"/>
          <w:szCs w:val="24"/>
          <w:highlight w:val="none"/>
          <w:lang w:eastAsia="zh-CN"/>
        </w:rPr>
        <w:t>本项目采购标的共分为三个品目，各品目最高限价为</w:t>
      </w:r>
      <w:r>
        <w:rPr>
          <w:rFonts w:hint="eastAsia" w:ascii="宋体" w:hAnsi="宋体" w:eastAsia="宋体" w:cs="宋体"/>
          <w:bCs/>
          <w:sz w:val="24"/>
          <w:szCs w:val="24"/>
          <w:highlight w:val="none"/>
        </w:rPr>
        <w:t>C16040000-云计算服务：175.139248万元；C16080100-软件运营服务：4.032万元；C16070400-安全运维服务：46.3392万元。</w:t>
      </w:r>
    </w:p>
    <w:tbl>
      <w:tblPr>
        <w:tblStyle w:val="4"/>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7"/>
        <w:gridCol w:w="1915"/>
        <w:gridCol w:w="5536"/>
        <w:gridCol w:w="1073"/>
      </w:tblGrid>
      <w:tr w14:paraId="4F2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7" w:hRule="atLeast"/>
          <w:jc w:val="center"/>
        </w:trPr>
        <w:tc>
          <w:tcPr>
            <w:tcW w:w="757" w:type="dxa"/>
            <w:shd w:val="clear" w:color="auto" w:fill="auto"/>
            <w:noWrap/>
            <w:vAlign w:val="center"/>
          </w:tcPr>
          <w:p w14:paraId="346B3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915" w:type="dxa"/>
            <w:shd w:val="clear" w:color="auto" w:fill="auto"/>
            <w:noWrap/>
            <w:vAlign w:val="center"/>
          </w:tcPr>
          <w:p w14:paraId="5818448E">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rPr>
              <w:t>服务子类</w:t>
            </w:r>
          </w:p>
        </w:tc>
        <w:tc>
          <w:tcPr>
            <w:tcW w:w="5536" w:type="dxa"/>
            <w:shd w:val="clear" w:color="auto" w:fill="auto"/>
            <w:noWrap/>
            <w:vAlign w:val="center"/>
          </w:tcPr>
          <w:p w14:paraId="2C1CFABC">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rPr>
              <w:t>服务项</w:t>
            </w:r>
          </w:p>
        </w:tc>
        <w:tc>
          <w:tcPr>
            <w:tcW w:w="1073" w:type="dxa"/>
            <w:shd w:val="clear" w:color="auto" w:fill="auto"/>
            <w:noWrap/>
            <w:vAlign w:val="center"/>
          </w:tcPr>
          <w:p w14:paraId="4567494C">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 w:val="0"/>
                <w:bCs/>
                <w:color w:val="000000"/>
                <w:kern w:val="2"/>
                <w:sz w:val="24"/>
                <w:szCs w:val="24"/>
                <w:highlight w:val="none"/>
                <w:lang w:bidi="ar"/>
              </w:rPr>
              <w:t>标的所属品目</w:t>
            </w:r>
          </w:p>
        </w:tc>
      </w:tr>
      <w:tr w14:paraId="668F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57" w:type="dxa"/>
            <w:shd w:val="clear" w:color="auto" w:fill="auto"/>
            <w:noWrap/>
            <w:vAlign w:val="center"/>
          </w:tcPr>
          <w:p w14:paraId="59915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915" w:type="dxa"/>
            <w:vMerge w:val="restart"/>
            <w:shd w:val="clear" w:color="auto" w:fill="auto"/>
            <w:noWrap/>
            <w:vAlign w:val="center"/>
          </w:tcPr>
          <w:p w14:paraId="779975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平台云主机服务（包含X86、ARM、C86）</w:t>
            </w:r>
          </w:p>
        </w:tc>
        <w:tc>
          <w:tcPr>
            <w:tcW w:w="5536" w:type="dxa"/>
            <w:shd w:val="clear" w:color="auto" w:fill="auto"/>
            <w:vAlign w:val="center"/>
          </w:tcPr>
          <w:p w14:paraId="60110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vCPU（vCPU ARM架构主频不低于2.4GHz，C86和x86主频不低于2.2GHz，平均虚拟化率，即物理CPU/虚拟CPU≥1/4，虚拟CPU利用率不低于物理CPU的25% ）</w:t>
            </w:r>
          </w:p>
        </w:tc>
        <w:tc>
          <w:tcPr>
            <w:tcW w:w="1073" w:type="dxa"/>
            <w:vMerge w:val="restart"/>
            <w:shd w:val="clear" w:color="auto" w:fill="auto"/>
            <w:vAlign w:val="center"/>
          </w:tcPr>
          <w:p w14:paraId="111B4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Cs/>
                <w:sz w:val="24"/>
                <w:szCs w:val="24"/>
                <w:highlight w:val="none"/>
              </w:rPr>
              <w:t>C16040000-云计算服务</w:t>
            </w:r>
          </w:p>
        </w:tc>
      </w:tr>
      <w:tr w14:paraId="1569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jc w:val="center"/>
        </w:trPr>
        <w:tc>
          <w:tcPr>
            <w:tcW w:w="757" w:type="dxa"/>
            <w:shd w:val="clear" w:color="auto" w:fill="auto"/>
            <w:noWrap/>
            <w:vAlign w:val="center"/>
          </w:tcPr>
          <w:p w14:paraId="08DAF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915" w:type="dxa"/>
            <w:vMerge w:val="continue"/>
            <w:shd w:val="clear" w:color="auto" w:fill="auto"/>
            <w:noWrap/>
            <w:vAlign w:val="center"/>
          </w:tcPr>
          <w:p w14:paraId="396A9F5C">
            <w:pPr>
              <w:jc w:val="left"/>
              <w:rPr>
                <w:rFonts w:hint="eastAsia" w:asciiTheme="minorEastAsia" w:hAnsiTheme="minorEastAsia" w:eastAsiaTheme="minorEastAsia" w:cstheme="minorEastAsia"/>
                <w:i w:val="0"/>
                <w:iCs w:val="0"/>
                <w:color w:val="000000"/>
                <w:sz w:val="24"/>
                <w:szCs w:val="24"/>
                <w:highlight w:val="none"/>
                <w:u w:val="none"/>
              </w:rPr>
            </w:pPr>
          </w:p>
        </w:tc>
        <w:tc>
          <w:tcPr>
            <w:tcW w:w="5536" w:type="dxa"/>
            <w:shd w:val="clear" w:color="auto" w:fill="auto"/>
            <w:noWrap/>
            <w:vAlign w:val="center"/>
          </w:tcPr>
          <w:p w14:paraId="42F5EB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内存</w:t>
            </w:r>
          </w:p>
        </w:tc>
        <w:tc>
          <w:tcPr>
            <w:tcW w:w="1073" w:type="dxa"/>
            <w:vMerge w:val="continue"/>
            <w:shd w:val="clear" w:color="auto" w:fill="auto"/>
            <w:vAlign w:val="center"/>
          </w:tcPr>
          <w:p w14:paraId="4C787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56B5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51F82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915" w:type="dxa"/>
            <w:shd w:val="clear" w:color="auto" w:fill="auto"/>
            <w:vAlign w:val="center"/>
          </w:tcPr>
          <w:p w14:paraId="0EA3EA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物理服务器租用服务（包含X86、ARM、C86）</w:t>
            </w:r>
          </w:p>
        </w:tc>
        <w:tc>
          <w:tcPr>
            <w:tcW w:w="5536" w:type="dxa"/>
            <w:shd w:val="clear" w:color="auto" w:fill="auto"/>
            <w:vAlign w:val="center"/>
          </w:tcPr>
          <w:p w14:paraId="7690E9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配置1：双路每CPU核数≥32核，主频≥2.0GHz，128G内存，2块600GSAS硕盘，2个HBA卡，2个万兆端口</w:t>
            </w:r>
          </w:p>
        </w:tc>
        <w:tc>
          <w:tcPr>
            <w:tcW w:w="1073" w:type="dxa"/>
            <w:vMerge w:val="continue"/>
            <w:shd w:val="clear" w:color="auto" w:fill="auto"/>
            <w:vAlign w:val="center"/>
          </w:tcPr>
          <w:p w14:paraId="79801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0C0E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12F65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915" w:type="dxa"/>
            <w:shd w:val="clear" w:color="auto" w:fill="auto"/>
            <w:vAlign w:val="center"/>
          </w:tcPr>
          <w:p w14:paraId="165D65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物理服务器增配服务（包含X86、ARM、C86）</w:t>
            </w:r>
          </w:p>
        </w:tc>
        <w:tc>
          <w:tcPr>
            <w:tcW w:w="5536" w:type="dxa"/>
            <w:shd w:val="clear" w:color="auto" w:fill="auto"/>
            <w:vAlign w:val="center"/>
          </w:tcPr>
          <w:p w14:paraId="453B0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内存-32GB内存</w:t>
            </w:r>
          </w:p>
        </w:tc>
        <w:tc>
          <w:tcPr>
            <w:tcW w:w="1073" w:type="dxa"/>
            <w:vMerge w:val="continue"/>
            <w:shd w:val="clear" w:color="auto" w:fill="auto"/>
            <w:vAlign w:val="center"/>
          </w:tcPr>
          <w:p w14:paraId="4D022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793F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132FE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915" w:type="dxa"/>
            <w:shd w:val="clear" w:color="auto" w:fill="auto"/>
            <w:vAlign w:val="center"/>
          </w:tcPr>
          <w:p w14:paraId="2AF193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物理服务器增配服务（包含X86、ARM、C86）</w:t>
            </w:r>
          </w:p>
        </w:tc>
        <w:tc>
          <w:tcPr>
            <w:tcW w:w="5536" w:type="dxa"/>
            <w:shd w:val="clear" w:color="auto" w:fill="auto"/>
            <w:vAlign w:val="center"/>
          </w:tcPr>
          <w:p w14:paraId="76ECC6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硬盘配置1-480GB SSD</w:t>
            </w:r>
          </w:p>
        </w:tc>
        <w:tc>
          <w:tcPr>
            <w:tcW w:w="1073" w:type="dxa"/>
            <w:vMerge w:val="continue"/>
            <w:shd w:val="clear" w:color="auto" w:fill="auto"/>
            <w:vAlign w:val="center"/>
          </w:tcPr>
          <w:p w14:paraId="45C29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00F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56FFD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915" w:type="dxa"/>
            <w:shd w:val="clear" w:color="auto" w:fill="auto"/>
            <w:vAlign w:val="center"/>
          </w:tcPr>
          <w:p w14:paraId="1CE832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物理服务器增配服务（包含X86、ARM、C86）</w:t>
            </w:r>
          </w:p>
        </w:tc>
        <w:tc>
          <w:tcPr>
            <w:tcW w:w="5536" w:type="dxa"/>
            <w:shd w:val="clear" w:color="auto" w:fill="auto"/>
            <w:vAlign w:val="center"/>
          </w:tcPr>
          <w:p w14:paraId="78D923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硬盘配置2-4TB SATA</w:t>
            </w:r>
          </w:p>
        </w:tc>
        <w:tc>
          <w:tcPr>
            <w:tcW w:w="1073" w:type="dxa"/>
            <w:vMerge w:val="continue"/>
            <w:shd w:val="clear" w:color="auto" w:fill="auto"/>
            <w:vAlign w:val="center"/>
          </w:tcPr>
          <w:p w14:paraId="2BC2C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61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21A60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915" w:type="dxa"/>
            <w:shd w:val="clear" w:color="auto" w:fill="auto"/>
            <w:vAlign w:val="center"/>
          </w:tcPr>
          <w:p w14:paraId="13A53B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GPU卡算力服务（适配X86、ARM、C86）</w:t>
            </w:r>
          </w:p>
        </w:tc>
        <w:tc>
          <w:tcPr>
            <w:tcW w:w="5536" w:type="dxa"/>
            <w:shd w:val="clear" w:color="auto" w:fill="auto"/>
            <w:vAlign w:val="center"/>
          </w:tcPr>
          <w:p w14:paraId="3A407D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GPU显存（需同时租用算力资源、云主机或物理服务器资源，联合使用）</w:t>
            </w:r>
          </w:p>
        </w:tc>
        <w:tc>
          <w:tcPr>
            <w:tcW w:w="1073" w:type="dxa"/>
            <w:vMerge w:val="continue"/>
            <w:shd w:val="clear" w:color="auto" w:fill="auto"/>
            <w:vAlign w:val="center"/>
          </w:tcPr>
          <w:p w14:paraId="03F2E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p>
        </w:tc>
      </w:tr>
      <w:tr w14:paraId="705A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2A1FF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1915" w:type="dxa"/>
            <w:shd w:val="clear" w:color="auto" w:fill="auto"/>
            <w:vAlign w:val="center"/>
          </w:tcPr>
          <w:p w14:paraId="74858E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GPU卡算力服务（适配X86、ARM、C86）</w:t>
            </w:r>
          </w:p>
        </w:tc>
        <w:tc>
          <w:tcPr>
            <w:tcW w:w="5536" w:type="dxa"/>
            <w:shd w:val="clear" w:color="auto" w:fill="auto"/>
            <w:vAlign w:val="center"/>
          </w:tcPr>
          <w:p w14:paraId="3B13D1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半精度浮点运算能力（需同时租用GPU显存、云主机或物理服务器资源，联合使用）</w:t>
            </w:r>
          </w:p>
        </w:tc>
        <w:tc>
          <w:tcPr>
            <w:tcW w:w="1073" w:type="dxa"/>
            <w:vMerge w:val="continue"/>
            <w:shd w:val="clear" w:color="auto" w:fill="auto"/>
            <w:vAlign w:val="center"/>
          </w:tcPr>
          <w:p w14:paraId="6A850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74C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74661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1915" w:type="dxa"/>
            <w:shd w:val="clear" w:color="auto" w:fill="auto"/>
            <w:vAlign w:val="center"/>
          </w:tcPr>
          <w:p w14:paraId="174A8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普通存储</w:t>
            </w:r>
          </w:p>
        </w:tc>
        <w:tc>
          <w:tcPr>
            <w:tcW w:w="5536" w:type="dxa"/>
            <w:shd w:val="clear" w:color="auto" w:fill="auto"/>
            <w:vAlign w:val="center"/>
          </w:tcPr>
          <w:p w14:paraId="38B2D2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单盘技术指标: 单盘IOPS 2000-5000</w:t>
            </w:r>
          </w:p>
        </w:tc>
        <w:tc>
          <w:tcPr>
            <w:tcW w:w="1073" w:type="dxa"/>
            <w:vMerge w:val="continue"/>
            <w:shd w:val="clear" w:color="auto" w:fill="auto"/>
            <w:vAlign w:val="center"/>
          </w:tcPr>
          <w:p w14:paraId="7EF42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8FA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3B10B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915" w:type="dxa"/>
            <w:shd w:val="clear" w:color="auto" w:fill="auto"/>
            <w:vAlign w:val="center"/>
          </w:tcPr>
          <w:p w14:paraId="5CB18F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高性能存储</w:t>
            </w:r>
          </w:p>
        </w:tc>
        <w:tc>
          <w:tcPr>
            <w:tcW w:w="5536" w:type="dxa"/>
            <w:shd w:val="clear" w:color="auto" w:fill="auto"/>
            <w:vAlign w:val="center"/>
          </w:tcPr>
          <w:p w14:paraId="307539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单盘技术指标：单盘IOPS 10000-25000</w:t>
            </w:r>
          </w:p>
        </w:tc>
        <w:tc>
          <w:tcPr>
            <w:tcW w:w="1073" w:type="dxa"/>
            <w:vMerge w:val="continue"/>
            <w:shd w:val="clear" w:color="auto" w:fill="auto"/>
            <w:vAlign w:val="center"/>
          </w:tcPr>
          <w:p w14:paraId="548C0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F95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25DAB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1915" w:type="dxa"/>
            <w:shd w:val="clear" w:color="auto" w:fill="auto"/>
            <w:vAlign w:val="center"/>
          </w:tcPr>
          <w:p w14:paraId="7B7820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静态存储</w:t>
            </w:r>
          </w:p>
        </w:tc>
        <w:tc>
          <w:tcPr>
            <w:tcW w:w="5536" w:type="dxa"/>
            <w:shd w:val="clear" w:color="auto" w:fill="auto"/>
            <w:vAlign w:val="center"/>
          </w:tcPr>
          <w:p w14:paraId="3EC346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提供大容量、高可靠的数据存储服务，具备PB级线性扩展能力</w:t>
            </w:r>
          </w:p>
        </w:tc>
        <w:tc>
          <w:tcPr>
            <w:tcW w:w="1073" w:type="dxa"/>
            <w:vMerge w:val="continue"/>
            <w:shd w:val="clear" w:color="auto" w:fill="auto"/>
            <w:vAlign w:val="center"/>
          </w:tcPr>
          <w:p w14:paraId="0CF30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050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1374E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1915" w:type="dxa"/>
            <w:shd w:val="clear" w:color="auto" w:fill="auto"/>
            <w:vAlign w:val="center"/>
          </w:tcPr>
          <w:p w14:paraId="2BA19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本地备份服务</w:t>
            </w:r>
          </w:p>
        </w:tc>
        <w:tc>
          <w:tcPr>
            <w:tcW w:w="5536" w:type="dxa"/>
            <w:shd w:val="clear" w:color="auto" w:fill="auto"/>
            <w:vAlign w:val="center"/>
          </w:tcPr>
          <w:p w14:paraId="4B9492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本地备份服务</w:t>
            </w:r>
          </w:p>
        </w:tc>
        <w:tc>
          <w:tcPr>
            <w:tcW w:w="1073" w:type="dxa"/>
            <w:vMerge w:val="continue"/>
            <w:shd w:val="clear" w:color="auto" w:fill="auto"/>
            <w:vAlign w:val="center"/>
          </w:tcPr>
          <w:p w14:paraId="68539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923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53200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1915" w:type="dxa"/>
            <w:shd w:val="clear" w:color="auto" w:fill="auto"/>
            <w:vAlign w:val="center"/>
          </w:tcPr>
          <w:p w14:paraId="03BBC0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基础软件支撑服务</w:t>
            </w:r>
          </w:p>
        </w:tc>
        <w:tc>
          <w:tcPr>
            <w:tcW w:w="5536" w:type="dxa"/>
            <w:shd w:val="clear" w:color="auto" w:fill="auto"/>
            <w:vAlign w:val="center"/>
          </w:tcPr>
          <w:p w14:paraId="2DDCB4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操作系统套餐：国产Linux套餐：国产Linux操作系统服务租用、安装及维护。</w:t>
            </w:r>
          </w:p>
        </w:tc>
        <w:tc>
          <w:tcPr>
            <w:tcW w:w="1073" w:type="dxa"/>
            <w:shd w:val="clear" w:color="auto" w:fill="auto"/>
            <w:vAlign w:val="center"/>
          </w:tcPr>
          <w:p w14:paraId="779A7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Cs/>
                <w:sz w:val="24"/>
                <w:szCs w:val="24"/>
                <w:highlight w:val="none"/>
              </w:rPr>
              <w:t>C16080100-软件运营服务</w:t>
            </w:r>
          </w:p>
        </w:tc>
      </w:tr>
      <w:tr w14:paraId="0A36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52EDC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1915" w:type="dxa"/>
            <w:vMerge w:val="restart"/>
            <w:shd w:val="clear" w:color="auto" w:fill="auto"/>
            <w:vAlign w:val="center"/>
          </w:tcPr>
          <w:p w14:paraId="0FECB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安全服务</w:t>
            </w:r>
          </w:p>
        </w:tc>
        <w:tc>
          <w:tcPr>
            <w:tcW w:w="5536" w:type="dxa"/>
            <w:shd w:val="clear" w:color="auto" w:fill="auto"/>
            <w:vAlign w:val="center"/>
          </w:tcPr>
          <w:p w14:paraId="4149D2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主机杀毒服务：对云主机进行定期的病毒查杀，杀毒软件集中控制，对网络性能无影响。</w:t>
            </w:r>
          </w:p>
        </w:tc>
        <w:tc>
          <w:tcPr>
            <w:tcW w:w="1073" w:type="dxa"/>
            <w:vMerge w:val="restart"/>
            <w:shd w:val="clear" w:color="auto" w:fill="auto"/>
            <w:vAlign w:val="center"/>
          </w:tcPr>
          <w:p w14:paraId="2E18E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Cs/>
                <w:sz w:val="24"/>
                <w:szCs w:val="24"/>
                <w:highlight w:val="none"/>
              </w:rPr>
              <w:t>C16070400-安全运维服务</w:t>
            </w:r>
          </w:p>
        </w:tc>
      </w:tr>
      <w:tr w14:paraId="7458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713B4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1915" w:type="dxa"/>
            <w:vMerge w:val="continue"/>
            <w:shd w:val="clear" w:color="auto" w:fill="auto"/>
            <w:vAlign w:val="center"/>
          </w:tcPr>
          <w:p w14:paraId="731811F0">
            <w:pPr>
              <w:jc w:val="left"/>
              <w:rPr>
                <w:rFonts w:hint="eastAsia" w:asciiTheme="minorEastAsia" w:hAnsiTheme="minorEastAsia" w:eastAsiaTheme="minorEastAsia" w:cstheme="minorEastAsia"/>
                <w:i w:val="0"/>
                <w:iCs w:val="0"/>
                <w:color w:val="000000"/>
                <w:sz w:val="24"/>
                <w:szCs w:val="24"/>
                <w:highlight w:val="none"/>
                <w:u w:val="none"/>
              </w:rPr>
            </w:pPr>
          </w:p>
        </w:tc>
        <w:tc>
          <w:tcPr>
            <w:tcW w:w="5536" w:type="dxa"/>
            <w:shd w:val="clear" w:color="auto" w:fill="auto"/>
            <w:vAlign w:val="center"/>
          </w:tcPr>
          <w:p w14:paraId="25118B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主机安全加固：针对漏扫或等级测评结果对操作系统进行安全加固，用以解决等级测评结果中所显示的漏洞。</w:t>
            </w:r>
          </w:p>
        </w:tc>
        <w:tc>
          <w:tcPr>
            <w:tcW w:w="1073" w:type="dxa"/>
            <w:vMerge w:val="continue"/>
            <w:shd w:val="clear" w:color="auto" w:fill="auto"/>
            <w:vAlign w:val="center"/>
          </w:tcPr>
          <w:p w14:paraId="0B6B9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5A0B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57" w:type="dxa"/>
            <w:shd w:val="clear" w:color="auto" w:fill="auto"/>
            <w:noWrap/>
            <w:vAlign w:val="center"/>
          </w:tcPr>
          <w:p w14:paraId="6A963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1915" w:type="dxa"/>
            <w:vMerge w:val="restart"/>
            <w:shd w:val="clear" w:color="auto" w:fill="auto"/>
            <w:vAlign w:val="center"/>
          </w:tcPr>
          <w:p w14:paraId="69E700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安全检测、监测、审计服务</w:t>
            </w:r>
          </w:p>
        </w:tc>
        <w:tc>
          <w:tcPr>
            <w:tcW w:w="5536" w:type="dxa"/>
            <w:shd w:val="clear" w:color="auto" w:fill="auto"/>
            <w:vAlign w:val="center"/>
          </w:tcPr>
          <w:p w14:paraId="17A32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主机漏洞扫描：为用户提供针对主机层面的安全扫描服务，并反馈相关结果。</w:t>
            </w:r>
          </w:p>
        </w:tc>
        <w:tc>
          <w:tcPr>
            <w:tcW w:w="1073" w:type="dxa"/>
            <w:vMerge w:val="continue"/>
            <w:shd w:val="clear" w:color="auto" w:fill="auto"/>
            <w:vAlign w:val="center"/>
          </w:tcPr>
          <w:p w14:paraId="71BF4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4E0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57" w:type="dxa"/>
            <w:shd w:val="clear" w:color="auto" w:fill="auto"/>
            <w:noWrap/>
            <w:vAlign w:val="center"/>
          </w:tcPr>
          <w:p w14:paraId="6AFFD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1915" w:type="dxa"/>
            <w:vMerge w:val="continue"/>
            <w:shd w:val="clear" w:color="auto" w:fill="auto"/>
            <w:vAlign w:val="center"/>
          </w:tcPr>
          <w:p w14:paraId="3B042163">
            <w:pPr>
              <w:jc w:val="left"/>
              <w:rPr>
                <w:rFonts w:hint="eastAsia" w:asciiTheme="minorEastAsia" w:hAnsiTheme="minorEastAsia" w:eastAsiaTheme="minorEastAsia" w:cstheme="minorEastAsia"/>
                <w:i w:val="0"/>
                <w:iCs w:val="0"/>
                <w:color w:val="000000"/>
                <w:sz w:val="24"/>
                <w:szCs w:val="24"/>
                <w:highlight w:val="none"/>
                <w:u w:val="none"/>
              </w:rPr>
            </w:pPr>
          </w:p>
        </w:tc>
        <w:tc>
          <w:tcPr>
            <w:tcW w:w="5536" w:type="dxa"/>
            <w:shd w:val="clear" w:color="auto" w:fill="auto"/>
            <w:vAlign w:val="center"/>
          </w:tcPr>
          <w:p w14:paraId="308816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主机日志分析：针对操作系统进行日志收集，并且进行分析，并将结果反馈给用户，用于了解主机安全情况及资源使用情况</w:t>
            </w:r>
          </w:p>
        </w:tc>
        <w:tc>
          <w:tcPr>
            <w:tcW w:w="1073" w:type="dxa"/>
            <w:vMerge w:val="continue"/>
            <w:shd w:val="clear" w:color="auto" w:fill="auto"/>
            <w:vAlign w:val="center"/>
          </w:tcPr>
          <w:p w14:paraId="6F9FC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bl>
    <w:p w14:paraId="56869C70">
      <w:pPr>
        <w:pStyle w:val="2"/>
        <w:rPr>
          <w:rFonts w:hint="eastAsia"/>
          <w:highlight w:val="none"/>
          <w:lang w:eastAsia="zh-CN"/>
        </w:rPr>
      </w:pPr>
    </w:p>
    <w:p w14:paraId="4CDABD2E">
      <w:pPr>
        <w:pStyle w:val="6"/>
        <w:spacing w:line="360" w:lineRule="auto"/>
        <w:ind w:firstLine="0" w:firstLineChars="0"/>
        <w:contextualSpacing/>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二、商务要求</w:t>
      </w:r>
    </w:p>
    <w:p w14:paraId="22D2A2E0">
      <w:pPr>
        <w:spacing w:line="360" w:lineRule="auto"/>
        <w:contextualSpacing/>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（一）采购标的服务时间及地点</w:t>
      </w:r>
    </w:p>
    <w:p w14:paraId="5FC06107">
      <w:pPr>
        <w:pStyle w:val="6"/>
        <w:spacing w:line="360" w:lineRule="auto"/>
        <w:ind w:firstLine="480"/>
        <w:contextualSpacing/>
        <w:rPr>
          <w:rFonts w:hint="eastAsia" w:ascii="宋体" w:hAnsi="宋体" w:eastAsia="宋体" w:cs="宋体"/>
          <w:b/>
          <w:sz w:val="24"/>
          <w:szCs w:val="24"/>
          <w:highlight w:val="none"/>
        </w:rPr>
      </w:pPr>
      <w:r>
        <w:rPr>
          <w:rFonts w:hint="eastAsia" w:ascii="宋体" w:hAnsi="宋体" w:eastAsia="宋体" w:cs="宋体"/>
          <w:sz w:val="24"/>
          <w:szCs w:val="24"/>
          <w:highlight w:val="none"/>
          <w:u w:val="single"/>
          <w:lang w:val="en-US" w:eastAsia="zh-CN"/>
        </w:rPr>
        <w:t>6个月</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在北京市履行。</w:t>
      </w:r>
    </w:p>
    <w:p w14:paraId="5832FA15">
      <w:pPr>
        <w:spacing w:line="360" w:lineRule="auto"/>
        <w:contextualSpacing/>
        <w:jc w:val="both"/>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（二）付款条件</w:t>
      </w:r>
    </w:p>
    <w:p w14:paraId="5191436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 付款进度：</w:t>
      </w:r>
    </w:p>
    <w:p w14:paraId="182EEA61">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第一次付款：合同签订生效且财政资金拨付到位后，采购人收到</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提供合格发票后10个工作日内，采购人向</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支付合同总价款的</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0%作为首付款；</w:t>
      </w:r>
    </w:p>
    <w:p w14:paraId="1625134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第二次付款：项目通过初步验收后，采购人在收到</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合格发票后10个工作日内，支付合同总价款的</w:t>
      </w:r>
      <w:r>
        <w:rPr>
          <w:rFonts w:hint="eastAsia" w:ascii="宋体" w:hAnsi="宋体" w:eastAsia="宋体" w:cs="宋体"/>
          <w:bCs/>
          <w:sz w:val="24"/>
          <w:szCs w:val="24"/>
          <w:highlight w:val="none"/>
          <w:lang w:val="en-US" w:eastAsia="zh-CN"/>
        </w:rPr>
        <w:t>30</w:t>
      </w:r>
      <w:r>
        <w:rPr>
          <w:rFonts w:hint="eastAsia" w:ascii="宋体" w:hAnsi="宋体" w:eastAsia="宋体" w:cs="宋体"/>
          <w:bCs/>
          <w:sz w:val="24"/>
          <w:szCs w:val="24"/>
          <w:highlight w:val="none"/>
        </w:rPr>
        <w:t>%。</w:t>
      </w:r>
    </w:p>
    <w:p w14:paraId="5B5F35FF">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 付款方式：转账支票或汇款方式。</w:t>
      </w:r>
    </w:p>
    <w:p w14:paraId="7C9F2CAF">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 付款要求：</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必须在采购人支付每笔款项前提供符合税法规定并符合采购人财务要求的正规合法有效的税务发票，采购人收到上述发票后10个工作日内将款项支付给</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，否则采购人有权暂不付款，并且不承担违约责任。</w:t>
      </w:r>
    </w:p>
    <w:p w14:paraId="3B02494B">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 如采购人未收到财政资金而导致逾期向</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付款的，则采购人不承担逾期付款的责任。在实际支付时，如遇财政部门国库结账等特殊情况，具体支付将根据财政部门有关要求调整执行，由此造成的支付迟延，采购人不承担任何责任。</w:t>
      </w:r>
    </w:p>
    <w:p w14:paraId="565CDEE5">
      <w:pPr>
        <w:pStyle w:val="2"/>
        <w:numPr>
          <w:ilvl w:val="0"/>
          <w:numId w:val="0"/>
        </w:num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color w:val="auto"/>
          <w:sz w:val="24"/>
          <w:szCs w:val="24"/>
          <w:highlight w:val="none"/>
          <w:lang w:val="en-US"/>
        </w:rPr>
        <w:t>★</w:t>
      </w:r>
      <w:r>
        <w:rPr>
          <w:rFonts w:hint="eastAsia" w:ascii="宋体" w:hAnsi="宋体" w:eastAsia="宋体" w:cs="宋体"/>
          <w:b/>
          <w:bCs/>
          <w:sz w:val="24"/>
          <w:szCs w:val="24"/>
          <w:highlight w:val="none"/>
          <w:lang w:eastAsia="zh-CN"/>
        </w:rPr>
        <w:t>（三）履约保证金</w:t>
      </w:r>
    </w:p>
    <w:p w14:paraId="7CC9C92F">
      <w:pPr>
        <w:pStyle w:val="2"/>
        <w:spacing w:line="360" w:lineRule="auto"/>
        <w:ind w:firstLine="482" w:firstLineChars="200"/>
        <w:rPr>
          <w:rFonts w:hint="eastAsia"/>
          <w:b/>
          <w:bCs/>
          <w:highlight w:val="none"/>
          <w:lang w:val="en-US" w:eastAsia="zh-CN"/>
        </w:rPr>
      </w:pPr>
      <w:r>
        <w:rPr>
          <w:rFonts w:hint="eastAsia" w:ascii="宋体" w:hAnsi="宋体" w:eastAsia="宋体" w:cs="宋体"/>
          <w:b/>
          <w:bCs/>
          <w:sz w:val="24"/>
          <w:szCs w:val="24"/>
          <w:highlight w:val="none"/>
          <w:lang w:bidi="ar"/>
        </w:rPr>
        <w:t>中标人应按</w:t>
      </w:r>
      <w:r>
        <w:rPr>
          <w:rFonts w:hint="eastAsia" w:ascii="宋体" w:hAnsi="宋体" w:eastAsia="宋体" w:cs="宋体"/>
          <w:b/>
          <w:bCs/>
          <w:sz w:val="24"/>
          <w:szCs w:val="24"/>
          <w:highlight w:val="none"/>
          <w:lang w:eastAsia="zh-CN" w:bidi="ar"/>
        </w:rPr>
        <w:t>合同中约</w:t>
      </w:r>
      <w:r>
        <w:rPr>
          <w:rFonts w:hint="eastAsia" w:ascii="宋体" w:hAnsi="宋体" w:eastAsia="宋体" w:cs="宋体"/>
          <w:b/>
          <w:bCs/>
          <w:sz w:val="24"/>
          <w:szCs w:val="24"/>
          <w:highlight w:val="none"/>
          <w:lang w:bidi="ar"/>
        </w:rPr>
        <w:t>定的金额向采购人提交履约保证金。履约保证金形式可采用支票、汇票、本票或者金融机构、担保机构出具的保函等非现金形式。</w:t>
      </w:r>
      <w:r>
        <w:rPr>
          <w:rFonts w:hint="eastAsia" w:hAnsi="宋体" w:cs="宋体"/>
          <w:b/>
          <w:bCs/>
          <w:sz w:val="24"/>
          <w:szCs w:val="24"/>
          <w:highlight w:val="none"/>
          <w:lang w:eastAsia="zh-CN" w:bidi="ar"/>
        </w:rPr>
        <w:t>投标人需提供提交履约保证金的承诺函（</w:t>
      </w:r>
      <w:r>
        <w:rPr>
          <w:rFonts w:hint="eastAsia" w:hAnsi="宋体" w:cs="宋体"/>
          <w:b/>
          <w:bCs/>
          <w:sz w:val="24"/>
          <w:szCs w:val="24"/>
          <w:highlight w:val="none"/>
          <w:lang w:val="en-US" w:eastAsia="zh-CN" w:bidi="ar"/>
        </w:rPr>
        <w:t>承诺函须加盖投标人公章</w:t>
      </w:r>
      <w:r>
        <w:rPr>
          <w:rFonts w:hint="eastAsia" w:hAnsi="宋体" w:cs="宋体"/>
          <w:b/>
          <w:bCs/>
          <w:sz w:val="24"/>
          <w:szCs w:val="24"/>
          <w:highlight w:val="none"/>
          <w:lang w:eastAsia="zh-CN" w:bidi="ar"/>
        </w:rPr>
        <w:t>），</w:t>
      </w:r>
      <w:r>
        <w:rPr>
          <w:rFonts w:hint="eastAsia" w:hAnsi="宋体" w:cs="宋体"/>
          <w:b/>
          <w:bCs/>
          <w:sz w:val="24"/>
          <w:szCs w:val="24"/>
          <w:highlight w:val="none"/>
          <w:lang w:bidi="ar"/>
        </w:rPr>
        <w:t>否则</w:t>
      </w:r>
      <w:r>
        <w:rPr>
          <w:rFonts w:hint="eastAsia" w:hAnsi="宋体" w:cs="宋体"/>
          <w:b/>
          <w:bCs/>
          <w:sz w:val="24"/>
          <w:szCs w:val="24"/>
          <w:highlight w:val="none"/>
          <w:lang w:eastAsia="zh-CN" w:bidi="ar"/>
        </w:rPr>
        <w:t>按</w:t>
      </w:r>
      <w:r>
        <w:rPr>
          <w:rFonts w:hint="eastAsia" w:hAnsi="宋体" w:cs="宋体"/>
          <w:b/>
          <w:bCs/>
          <w:sz w:val="24"/>
          <w:szCs w:val="24"/>
          <w:highlight w:val="none"/>
          <w:lang w:bidi="ar"/>
        </w:rPr>
        <w:t>无效投标处理。</w:t>
      </w:r>
    </w:p>
    <w:p w14:paraId="178C18AA">
      <w:pPr>
        <w:pStyle w:val="6"/>
        <w:spacing w:line="360" w:lineRule="auto"/>
        <w:ind w:firstLine="0" w:firstLineChars="0"/>
        <w:contextualSpacing/>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三、技术要求</w:t>
      </w:r>
    </w:p>
    <w:p w14:paraId="3BBEDD3C">
      <w:pPr>
        <w:spacing w:line="360" w:lineRule="auto"/>
        <w:contextualSpacing/>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（一）基本要求</w:t>
      </w:r>
    </w:p>
    <w:p w14:paraId="5D9B2CCD">
      <w:pPr>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1 </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目标</w:t>
      </w:r>
    </w:p>
    <w:p w14:paraId="0DDC9C05">
      <w:pPr>
        <w:spacing w:line="360" w:lineRule="auto"/>
        <w:ind w:firstLine="482"/>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本项目根据运行需求，针对北京市山区防洪减灾“一张图”信息系统提供满足系统运行所需要的云计算服务</w:t>
      </w:r>
      <w:r>
        <w:rPr>
          <w:rFonts w:hint="eastAsia" w:ascii="宋体" w:hAnsi="宋体" w:eastAsia="宋体" w:cs="宋体"/>
          <w:sz w:val="24"/>
          <w:szCs w:val="24"/>
          <w:highlight w:val="none"/>
          <w:lang w:val="en-US" w:eastAsia="zh-CN"/>
        </w:rPr>
        <w:t>及相关扩展服务</w:t>
      </w:r>
      <w:r>
        <w:rPr>
          <w:rFonts w:hint="eastAsia" w:ascii="宋体" w:hAnsi="宋体" w:eastAsia="宋体" w:cs="宋体"/>
          <w:sz w:val="24"/>
          <w:szCs w:val="24"/>
          <w:highlight w:val="none"/>
        </w:rPr>
        <w:t>，用于</w:t>
      </w:r>
      <w:r>
        <w:rPr>
          <w:rFonts w:hint="eastAsia" w:ascii="宋体" w:hAnsi="宋体" w:eastAsia="宋体" w:cs="宋体"/>
          <w:sz w:val="24"/>
          <w:szCs w:val="24"/>
          <w:highlight w:val="none"/>
          <w:lang w:val="en-US" w:eastAsia="zh-CN"/>
        </w:rPr>
        <w:t>系统</w:t>
      </w:r>
      <w:r>
        <w:rPr>
          <w:rFonts w:hint="eastAsia" w:ascii="宋体" w:hAnsi="宋体" w:eastAsia="宋体" w:cs="宋体"/>
          <w:sz w:val="24"/>
          <w:szCs w:val="24"/>
          <w:highlight w:val="none"/>
        </w:rPr>
        <w:t>的云上稳定运行，包括云主机、存储、</w:t>
      </w:r>
      <w:r>
        <w:rPr>
          <w:rFonts w:hint="eastAsia" w:ascii="宋体" w:hAnsi="宋体" w:eastAsia="宋体" w:cs="宋体"/>
          <w:sz w:val="24"/>
          <w:szCs w:val="24"/>
          <w:highlight w:val="none"/>
          <w:lang w:val="en-US" w:eastAsia="zh-CN"/>
        </w:rPr>
        <w:t>安全</w:t>
      </w:r>
      <w:r>
        <w:rPr>
          <w:rFonts w:hint="eastAsia" w:ascii="宋体" w:hAnsi="宋体" w:eastAsia="宋体" w:cs="宋体"/>
          <w:sz w:val="24"/>
          <w:szCs w:val="24"/>
          <w:highlight w:val="none"/>
        </w:rPr>
        <w:t>等层面的相关资源，充分保障市水务局面向全市的水务服务可用性及连续性，提升山区防汛风险要素精细化管理水平</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预报预警和风险提示信息直达基层的能力</w:t>
      </w:r>
      <w:r>
        <w:rPr>
          <w:rFonts w:hint="eastAsia" w:ascii="宋体" w:hAnsi="宋体" w:eastAsia="宋体" w:cs="宋体"/>
          <w:sz w:val="24"/>
          <w:szCs w:val="24"/>
          <w:highlight w:val="none"/>
          <w:lang w:eastAsia="zh-CN"/>
        </w:rPr>
        <w:t>。</w:t>
      </w:r>
    </w:p>
    <w:p w14:paraId="4286880D">
      <w:pPr>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执行的标准和规范</w:t>
      </w:r>
    </w:p>
    <w:p w14:paraId="6D9F83A1">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2.1 国家及北京市有关政策</w:t>
      </w:r>
    </w:p>
    <w:p w14:paraId="63A34E0C">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《关键信息基础设施安全保护条例》（中华人民共和国国务院令第745号）</w:t>
      </w:r>
    </w:p>
    <w:p w14:paraId="339EFD18">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《国家政务信息化项目建设管理办法》（国办发〔2019〕57号）</w:t>
      </w:r>
    </w:p>
    <w:p w14:paraId="08F3EDD5">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《政府采购需求管理办法》(财库〔2021〕22号)</w:t>
      </w:r>
    </w:p>
    <w:p w14:paraId="1BE8A3B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《关于促进政府采购公平竞争优化营商环境的通知》（财库〔2019〕38号）</w:t>
      </w:r>
    </w:p>
    <w:p w14:paraId="1F5154E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《关于进一步提高政府采购透明度和采购效率相关事项的通知》（财办库〔2023〕243号）</w:t>
      </w:r>
    </w:p>
    <w:p w14:paraId="0E91BB0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《工业和信息化部信息通信管理局关于督促互联网网络接入服务企业依法持证经营的通知》（工信管函〔2018〕84号）</w:t>
      </w:r>
    </w:p>
    <w:p w14:paraId="5630D91E">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《云计算服务安全评估办法》（国家互联网信息办公室、国家发展和改革委员会、工业和信息化部、财政部公告2019年2号）</w:t>
      </w:r>
    </w:p>
    <w:p w14:paraId="19CC6A2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《关于加强党政部门云计算服务网络安全管理的意见》（中网办发文〔2014〕14号）</w:t>
      </w:r>
    </w:p>
    <w:p w14:paraId="0ED3697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《基于云计算的电子政务公共平台顶层设计指南》</w:t>
      </w:r>
    </w:p>
    <w:p w14:paraId="548B08A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《北京市财政局关于印发&lt;北京市政府采购负面清单&gt;的通知》（京财采购〔2020〕1345号）</w:t>
      </w:r>
    </w:p>
    <w:p w14:paraId="6816FCE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《北京市财政局关于落实好政府采购支持中小企业发展的通知（京财采购〔2022〕1143号）</w:t>
      </w:r>
    </w:p>
    <w:p w14:paraId="07E65195">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《关于印发&lt;关于推进我市政务信息系统整合共享的实施方案&gt;的通知》（京经信委发〔2017〕89号）</w:t>
      </w:r>
    </w:p>
    <w:p w14:paraId="39895835">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《北京市人民政府关于印发&lt;北京市政务信息资源管理办法（试行）&gt;的通知》（京政发〔2017〕37号）</w:t>
      </w:r>
    </w:p>
    <w:p w14:paraId="712BBD45">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《关于印发&lt;北京市市级政务云管理办法&gt;的通知》（京经信函〔2019〕150号）</w:t>
      </w:r>
    </w:p>
    <w:p w14:paraId="4B379B5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《北京市政务网络和数据安全管理办法》（京经信发〔2023〕57号）</w:t>
      </w:r>
    </w:p>
    <w:p w14:paraId="4680D57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《北京市“十四五”时期智慧城市建设控制性规划要求（试行）》（京大数据发〔2021〕2号）</w:t>
      </w:r>
    </w:p>
    <w:p w14:paraId="4C9EAB2F">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2.2 国家相关标准</w:t>
      </w:r>
    </w:p>
    <w:p w14:paraId="7CC3F51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《国家电子政务外网安全接入平台技术规范》</w:t>
      </w:r>
    </w:p>
    <w:p w14:paraId="2575DD89">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《信息技术—云计算—云服务质量评价指标》（GB/T 37738-2019）</w:t>
      </w:r>
    </w:p>
    <w:p w14:paraId="56DA7488">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《信息技术—云计算—云服务计量指标》（GB/T 37735-2019）</w:t>
      </w:r>
    </w:p>
    <w:p w14:paraId="4AC9F1D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《信息技术—云计算—云服务采购指南》（GB/T 37734-2019）</w:t>
      </w:r>
    </w:p>
    <w:p w14:paraId="7330DDAB">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《信息技术—云计算—云存储系统服务接口功能》（GB/T 37732-2019）</w:t>
      </w:r>
    </w:p>
    <w:p w14:paraId="3CC2405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《信息技术—云计算—云资源监控通用要求》（GB/T 37736-2019）</w:t>
      </w:r>
    </w:p>
    <w:p w14:paraId="1827E5C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《信息技术—云计算—云平台间应用和数据迁移指南》（GB/T 37740-2019）</w:t>
      </w:r>
    </w:p>
    <w:p w14:paraId="62276F6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《信息技术—云计算—云服务交付要求》（GB/T 37741-2019）</w:t>
      </w:r>
    </w:p>
    <w:p w14:paraId="57ED7F5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《信息系统灾难恢复规范》（GB/T 20988-2007）</w:t>
      </w:r>
    </w:p>
    <w:p w14:paraId="4DE5E884">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云计算服务安全能力要求》（GB/T 31168-2014）</w:t>
      </w:r>
    </w:p>
    <w:p w14:paraId="1C70392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网络安全等级保护定级指南》（GB/T 22240-2020）</w:t>
      </w:r>
    </w:p>
    <w:p w14:paraId="54037AC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网络安全等级保护基本要求》（GB/T 22239-2019）</w:t>
      </w:r>
    </w:p>
    <w:p w14:paraId="582D144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网络安全等级保护测评要求》（GB/T 28448-2019）</w:t>
      </w:r>
    </w:p>
    <w:p w14:paraId="5D53884E">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信息系统密码应用基本要求》（GB/T39786-2021）</w:t>
      </w:r>
    </w:p>
    <w:p w14:paraId="0BD7D6E4">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信息安全风险评估方法》（GB/T 20984-2022）</w:t>
      </w:r>
    </w:p>
    <w:p w14:paraId="0FC8DC5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云计算服务安全指南》（GB/T 31167-2014）</w:t>
      </w:r>
    </w:p>
    <w:p w14:paraId="27F0A2D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政府网站云计算服务安全指南》（GB/T 38249—2019）</w:t>
      </w:r>
    </w:p>
    <w:p w14:paraId="5800AAA1">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云计算安全参考架构》（GB/T 35279—2017）</w:t>
      </w:r>
    </w:p>
    <w:p w14:paraId="28DEF2B5">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云计算服务安全能力评估方法》GB/T 34942—2017</w:t>
      </w:r>
    </w:p>
    <w:p w14:paraId="73948708">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《信息安全技术 云计算服务运行监管框架》（GB/T 37972—2019）</w:t>
      </w:r>
    </w:p>
    <w:p w14:paraId="15B4E13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《信息技术 云资源监控指标体系》（GB/T 37938-2019）</w:t>
      </w:r>
    </w:p>
    <w:p w14:paraId="06D0B25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《云计算关键领域安全指南V4.0》</w:t>
      </w:r>
    </w:p>
    <w:p w14:paraId="3CCF62FF">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2.3 北京市相关标准</w:t>
      </w:r>
    </w:p>
    <w:p w14:paraId="59BFD3BF">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《政务云平台建设技术要求》（DB11/T 2169-2023）</w:t>
      </w:r>
    </w:p>
    <w:p w14:paraId="14C5F3EE">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《北京市政务云安全技术规范 IaaS云计算平台分册》</w:t>
      </w:r>
    </w:p>
    <w:p w14:paraId="1656B47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《北京市政务云安全技术规范 IaaS云计算平台安全监管接口分册》</w:t>
      </w:r>
    </w:p>
    <w:p w14:paraId="3C543068">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《北京市政务云安全技术规范 信息安全服务接口分册》</w:t>
      </w:r>
    </w:p>
    <w:p w14:paraId="07F04336">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注：服务标准涉及的国家标准及北京市标准有更新的，执行最新标准。</w:t>
      </w:r>
    </w:p>
    <w:p w14:paraId="67AA6A70">
      <w:pPr>
        <w:spacing w:line="360" w:lineRule="auto"/>
        <w:contextualSpacing/>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（二）服务内容及要求</w:t>
      </w:r>
    </w:p>
    <w:p w14:paraId="1F39C0CD">
      <w:pPr>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计算服务</w:t>
      </w:r>
    </w:p>
    <w:p w14:paraId="173ECBF4">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1.1服务内容</w:t>
      </w:r>
    </w:p>
    <w:p w14:paraId="3502EF07">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采购人的具体需求，提供云主机服务，包括：X86、ARM、C86平台云主机服务和物理服务器租用服务，按需求对CPU及内存进行动态调整，实现合理的计算资源配置。在提供政务云主机的服务过程中做好与采购人和对应项目应用开发厂商的协调沟通工作。</w:t>
      </w:r>
    </w:p>
    <w:p w14:paraId="26CC01DE">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1.2服务标准</w:t>
      </w:r>
    </w:p>
    <w:p w14:paraId="26CEA19D">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（1）云主机租用服务技术需求</w:t>
      </w:r>
    </w:p>
    <w:p w14:paraId="534B4CFC">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须按照“一云多芯”模式建设，按需</w:t>
      </w:r>
      <w:r>
        <w:rPr>
          <w:rFonts w:hint="eastAsia" w:ascii="宋体" w:hAnsi="宋体" w:eastAsia="宋体" w:cs="宋体"/>
          <w:sz w:val="24"/>
          <w:szCs w:val="24"/>
          <w:highlight w:val="none"/>
          <w:lang w:eastAsia="zh-CN"/>
        </w:rPr>
        <w:t>可</w:t>
      </w:r>
      <w:r>
        <w:rPr>
          <w:rFonts w:hint="eastAsia" w:ascii="宋体" w:hAnsi="宋体" w:eastAsia="宋体" w:cs="宋体"/>
          <w:sz w:val="24"/>
          <w:szCs w:val="24"/>
          <w:highlight w:val="none"/>
        </w:rPr>
        <w:t>提供鲲鹏、飞腾、海光等各技术路线的计算资源。</w:t>
      </w:r>
    </w:p>
    <w:tbl>
      <w:tblPr>
        <w:tblStyle w:val="4"/>
        <w:tblpPr w:leftFromText="180" w:rightFromText="180" w:vertAnchor="text" w:horzAnchor="page" w:tblpX="2105" w:tblpY="405"/>
        <w:tblOverlap w:val="never"/>
        <w:tblW w:w="7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5984"/>
      </w:tblGrid>
      <w:tr w14:paraId="3A39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7AF3ADC7">
            <w:pPr>
              <w:jc w:val="center"/>
              <w:rPr>
                <w:sz w:val="24"/>
                <w:highlight w:val="none"/>
              </w:rPr>
            </w:pPr>
            <w:r>
              <w:rPr>
                <w:rFonts w:hint="eastAsia"/>
                <w:sz w:val="24"/>
                <w:highlight w:val="none"/>
              </w:rPr>
              <w:t>指标项</w:t>
            </w:r>
          </w:p>
        </w:tc>
        <w:tc>
          <w:tcPr>
            <w:tcW w:w="5984" w:type="dxa"/>
            <w:tcBorders>
              <w:top w:val="single" w:color="000000" w:sz="4" w:space="0"/>
              <w:left w:val="single" w:color="000000" w:sz="4" w:space="0"/>
              <w:bottom w:val="single" w:color="000000" w:sz="4" w:space="0"/>
              <w:right w:val="single" w:color="000000" w:sz="4" w:space="0"/>
            </w:tcBorders>
          </w:tcPr>
          <w:p w14:paraId="22A3689C">
            <w:pPr>
              <w:jc w:val="center"/>
              <w:rPr>
                <w:sz w:val="24"/>
                <w:highlight w:val="none"/>
              </w:rPr>
            </w:pPr>
            <w:r>
              <w:rPr>
                <w:rFonts w:hint="eastAsia"/>
                <w:sz w:val="24"/>
                <w:highlight w:val="none"/>
              </w:rPr>
              <w:t>规格要求</w:t>
            </w:r>
          </w:p>
        </w:tc>
      </w:tr>
      <w:tr w14:paraId="558B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3903C767">
            <w:pPr>
              <w:rPr>
                <w:sz w:val="24"/>
                <w:highlight w:val="none"/>
              </w:rPr>
            </w:pPr>
            <w:r>
              <w:rPr>
                <w:rFonts w:hint="eastAsia"/>
                <w:sz w:val="24"/>
                <w:highlight w:val="none"/>
              </w:rPr>
              <w:t>性能限制</w:t>
            </w:r>
          </w:p>
        </w:tc>
        <w:tc>
          <w:tcPr>
            <w:tcW w:w="5984" w:type="dxa"/>
            <w:tcBorders>
              <w:top w:val="single" w:color="000000" w:sz="4" w:space="0"/>
              <w:left w:val="single" w:color="000000" w:sz="4" w:space="0"/>
              <w:bottom w:val="single" w:color="000000" w:sz="4" w:space="0"/>
              <w:right w:val="single" w:color="000000" w:sz="4" w:space="0"/>
            </w:tcBorders>
          </w:tcPr>
          <w:p w14:paraId="06A5B722">
            <w:pPr>
              <w:rPr>
                <w:sz w:val="24"/>
                <w:highlight w:val="none"/>
              </w:rPr>
            </w:pPr>
            <w:r>
              <w:rPr>
                <w:rFonts w:hint="eastAsia"/>
                <w:sz w:val="24"/>
                <w:highlight w:val="none"/>
              </w:rPr>
              <w:t>按内存不复用方式分配资源，提供的CPU主频≥2.4GHz</w:t>
            </w:r>
          </w:p>
        </w:tc>
      </w:tr>
      <w:tr w14:paraId="019F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6420BAAE">
            <w:pPr>
              <w:rPr>
                <w:sz w:val="24"/>
                <w:highlight w:val="none"/>
              </w:rPr>
            </w:pPr>
            <w:r>
              <w:rPr>
                <w:rFonts w:hint="eastAsia"/>
                <w:sz w:val="24"/>
                <w:highlight w:val="none"/>
              </w:rPr>
              <w:t>性能范围</w:t>
            </w:r>
          </w:p>
        </w:tc>
        <w:tc>
          <w:tcPr>
            <w:tcW w:w="5984" w:type="dxa"/>
            <w:tcBorders>
              <w:top w:val="single" w:color="000000" w:sz="4" w:space="0"/>
              <w:left w:val="single" w:color="000000" w:sz="4" w:space="0"/>
              <w:bottom w:val="single" w:color="000000" w:sz="4" w:space="0"/>
              <w:right w:val="single" w:color="000000" w:sz="4" w:space="0"/>
            </w:tcBorders>
          </w:tcPr>
          <w:p w14:paraId="7A531775">
            <w:pPr>
              <w:rPr>
                <w:sz w:val="24"/>
                <w:highlight w:val="none"/>
              </w:rPr>
            </w:pPr>
            <w:r>
              <w:rPr>
                <w:rFonts w:hint="eastAsia"/>
                <w:sz w:val="24"/>
                <w:highlight w:val="none"/>
              </w:rPr>
              <w:t>CPU核数可选范围1-16核，内存可选范围1-64G</w:t>
            </w:r>
          </w:p>
        </w:tc>
      </w:tr>
      <w:tr w14:paraId="000A0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14C05FFD">
            <w:pPr>
              <w:rPr>
                <w:sz w:val="24"/>
                <w:highlight w:val="none"/>
              </w:rPr>
            </w:pPr>
            <w:r>
              <w:rPr>
                <w:rFonts w:hint="eastAsia"/>
                <w:sz w:val="24"/>
                <w:highlight w:val="none"/>
              </w:rPr>
              <w:t>操作系统兼容性</w:t>
            </w:r>
          </w:p>
        </w:tc>
        <w:tc>
          <w:tcPr>
            <w:tcW w:w="5984" w:type="dxa"/>
            <w:tcBorders>
              <w:top w:val="single" w:color="000000" w:sz="4" w:space="0"/>
              <w:left w:val="single" w:color="000000" w:sz="4" w:space="0"/>
              <w:bottom w:val="single" w:color="000000" w:sz="4" w:space="0"/>
              <w:right w:val="single" w:color="000000" w:sz="4" w:space="0"/>
            </w:tcBorders>
          </w:tcPr>
          <w:p w14:paraId="051B31A6">
            <w:pPr>
              <w:rPr>
                <w:sz w:val="24"/>
                <w:highlight w:val="none"/>
              </w:rPr>
            </w:pPr>
            <w:r>
              <w:rPr>
                <w:rFonts w:hint="eastAsia"/>
                <w:sz w:val="24"/>
                <w:highlight w:val="none"/>
              </w:rPr>
              <w:t>支持主流操作系统，如windows server系列、Linux发行版、国产Linux等，需正版授权</w:t>
            </w:r>
          </w:p>
        </w:tc>
      </w:tr>
      <w:tr w14:paraId="0CA43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right w:val="single" w:color="000000" w:sz="4" w:space="0"/>
            </w:tcBorders>
            <w:vAlign w:val="center"/>
          </w:tcPr>
          <w:p w14:paraId="6F2E2CDB">
            <w:pPr>
              <w:rPr>
                <w:sz w:val="24"/>
                <w:highlight w:val="none"/>
              </w:rPr>
            </w:pPr>
            <w:r>
              <w:rPr>
                <w:rFonts w:hint="eastAsia"/>
                <w:sz w:val="24"/>
                <w:highlight w:val="none"/>
              </w:rPr>
              <w:t>扩展性</w:t>
            </w:r>
          </w:p>
        </w:tc>
        <w:tc>
          <w:tcPr>
            <w:tcW w:w="5984" w:type="dxa"/>
            <w:tcBorders>
              <w:top w:val="single" w:color="000000" w:sz="4" w:space="0"/>
              <w:left w:val="single" w:color="000000" w:sz="4" w:space="0"/>
              <w:bottom w:val="single" w:color="000000" w:sz="4" w:space="0"/>
              <w:right w:val="single" w:color="000000" w:sz="4" w:space="0"/>
            </w:tcBorders>
          </w:tcPr>
          <w:p w14:paraId="6DAD472A">
            <w:pPr>
              <w:rPr>
                <w:sz w:val="24"/>
                <w:highlight w:val="none"/>
              </w:rPr>
            </w:pPr>
            <w:r>
              <w:rPr>
                <w:rFonts w:hint="eastAsia"/>
                <w:sz w:val="24"/>
                <w:highlight w:val="none"/>
              </w:rPr>
              <w:t>用户可以灵活调整云主机CPU、内存、硬盘规格</w:t>
            </w:r>
          </w:p>
        </w:tc>
      </w:tr>
      <w:tr w14:paraId="3ED5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026A09BC">
            <w:pPr>
              <w:rPr>
                <w:sz w:val="24"/>
                <w:highlight w:val="none"/>
              </w:rPr>
            </w:pPr>
            <w:r>
              <w:rPr>
                <w:rFonts w:hint="eastAsia"/>
                <w:sz w:val="24"/>
                <w:highlight w:val="none"/>
              </w:rPr>
              <w:t>云主机隔离</w:t>
            </w:r>
          </w:p>
        </w:tc>
        <w:tc>
          <w:tcPr>
            <w:tcW w:w="5984" w:type="dxa"/>
            <w:tcBorders>
              <w:top w:val="single" w:color="000000" w:sz="4" w:space="0"/>
              <w:left w:val="single" w:color="000000" w:sz="4" w:space="0"/>
              <w:bottom w:val="single" w:color="000000" w:sz="4" w:space="0"/>
              <w:right w:val="single" w:color="000000" w:sz="4" w:space="0"/>
            </w:tcBorders>
          </w:tcPr>
          <w:p w14:paraId="0EDD8CCC">
            <w:pPr>
              <w:rPr>
                <w:sz w:val="24"/>
                <w:highlight w:val="none"/>
              </w:rPr>
            </w:pPr>
            <w:r>
              <w:rPr>
                <w:rFonts w:hint="eastAsia"/>
                <w:sz w:val="24"/>
                <w:highlight w:val="none"/>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14:paraId="4E88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2E24EE44">
            <w:pPr>
              <w:rPr>
                <w:sz w:val="24"/>
                <w:highlight w:val="none"/>
              </w:rPr>
            </w:pPr>
            <w:r>
              <w:rPr>
                <w:rFonts w:hint="eastAsia"/>
                <w:sz w:val="24"/>
                <w:highlight w:val="none"/>
              </w:rPr>
              <w:t>管理权限</w:t>
            </w:r>
          </w:p>
        </w:tc>
        <w:tc>
          <w:tcPr>
            <w:tcW w:w="5984" w:type="dxa"/>
            <w:tcBorders>
              <w:top w:val="single" w:color="000000" w:sz="4" w:space="0"/>
              <w:left w:val="single" w:color="000000" w:sz="4" w:space="0"/>
              <w:bottom w:val="single" w:color="000000" w:sz="4" w:space="0"/>
              <w:right w:val="single" w:color="000000" w:sz="4" w:space="0"/>
            </w:tcBorders>
          </w:tcPr>
          <w:p w14:paraId="338A00E0">
            <w:pPr>
              <w:rPr>
                <w:sz w:val="24"/>
                <w:highlight w:val="none"/>
              </w:rPr>
            </w:pPr>
            <w:r>
              <w:rPr>
                <w:rFonts w:hint="eastAsia"/>
                <w:sz w:val="24"/>
                <w:highlight w:val="none"/>
              </w:rPr>
              <w:t>用户对云主机有完全的控制权，具有管理员权限，使用方式与传统物理主机完全一致。</w:t>
            </w:r>
          </w:p>
        </w:tc>
      </w:tr>
      <w:tr w14:paraId="73443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restart"/>
            <w:tcBorders>
              <w:top w:val="single" w:color="000000" w:sz="4" w:space="0"/>
              <w:left w:val="single" w:color="000000" w:sz="4" w:space="0"/>
              <w:right w:val="single" w:color="000000" w:sz="4" w:space="0"/>
            </w:tcBorders>
            <w:vAlign w:val="center"/>
          </w:tcPr>
          <w:p w14:paraId="50EBA941">
            <w:pPr>
              <w:rPr>
                <w:sz w:val="24"/>
                <w:highlight w:val="none"/>
              </w:rPr>
            </w:pPr>
            <w:r>
              <w:rPr>
                <w:rFonts w:hint="eastAsia"/>
                <w:sz w:val="24"/>
                <w:highlight w:val="none"/>
              </w:rPr>
              <w:t>HA功能</w:t>
            </w:r>
          </w:p>
        </w:tc>
        <w:tc>
          <w:tcPr>
            <w:tcW w:w="5984" w:type="dxa"/>
            <w:tcBorders>
              <w:top w:val="single" w:color="000000" w:sz="4" w:space="0"/>
              <w:left w:val="single" w:color="000000" w:sz="4" w:space="0"/>
              <w:bottom w:val="single" w:color="000000" w:sz="4" w:space="0"/>
              <w:right w:val="single" w:color="000000" w:sz="4" w:space="0"/>
            </w:tcBorders>
          </w:tcPr>
          <w:p w14:paraId="2C95E0D7">
            <w:pPr>
              <w:rPr>
                <w:sz w:val="24"/>
                <w:highlight w:val="none"/>
              </w:rPr>
            </w:pPr>
            <w:r>
              <w:rPr>
                <w:rFonts w:hint="eastAsia"/>
                <w:sz w:val="24"/>
                <w:highlight w:val="none"/>
              </w:rPr>
              <w:t>虚拟化管理节点须支持双机热备</w:t>
            </w:r>
          </w:p>
        </w:tc>
      </w:tr>
      <w:tr w14:paraId="50F0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vAlign w:val="center"/>
          </w:tcPr>
          <w:p w14:paraId="69082F52">
            <w:pPr>
              <w:rPr>
                <w:sz w:val="24"/>
                <w:highlight w:val="none"/>
              </w:rPr>
            </w:pPr>
          </w:p>
        </w:tc>
        <w:tc>
          <w:tcPr>
            <w:tcW w:w="5984" w:type="dxa"/>
            <w:tcBorders>
              <w:top w:val="single" w:color="000000" w:sz="4" w:space="0"/>
              <w:left w:val="single" w:color="000000" w:sz="4" w:space="0"/>
              <w:bottom w:val="single" w:color="000000" w:sz="4" w:space="0"/>
              <w:right w:val="single" w:color="000000" w:sz="4" w:space="0"/>
            </w:tcBorders>
          </w:tcPr>
          <w:p w14:paraId="160DF3AA">
            <w:pPr>
              <w:rPr>
                <w:sz w:val="24"/>
                <w:highlight w:val="none"/>
              </w:rPr>
            </w:pPr>
            <w:r>
              <w:rPr>
                <w:rFonts w:hint="eastAsia"/>
                <w:sz w:val="24"/>
                <w:highlight w:val="none"/>
              </w:rPr>
              <w:t>虚拟化管理系统支持虚拟机的HA功能</w:t>
            </w:r>
          </w:p>
        </w:tc>
      </w:tr>
      <w:tr w14:paraId="2795E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vAlign w:val="center"/>
          </w:tcPr>
          <w:p w14:paraId="2B9FD641">
            <w:pPr>
              <w:rPr>
                <w:sz w:val="24"/>
                <w:highlight w:val="none"/>
              </w:rPr>
            </w:pPr>
          </w:p>
        </w:tc>
        <w:tc>
          <w:tcPr>
            <w:tcW w:w="5984" w:type="dxa"/>
            <w:tcBorders>
              <w:top w:val="single" w:color="000000" w:sz="4" w:space="0"/>
              <w:left w:val="single" w:color="000000" w:sz="4" w:space="0"/>
              <w:bottom w:val="single" w:color="000000" w:sz="4" w:space="0"/>
              <w:right w:val="single" w:color="000000" w:sz="4" w:space="0"/>
            </w:tcBorders>
          </w:tcPr>
          <w:p w14:paraId="0FB398CD">
            <w:pPr>
              <w:rPr>
                <w:sz w:val="24"/>
                <w:highlight w:val="none"/>
              </w:rPr>
            </w:pPr>
            <w:r>
              <w:rPr>
                <w:rFonts w:hint="eastAsia"/>
                <w:sz w:val="24"/>
                <w:highlight w:val="none"/>
              </w:rPr>
              <w:t>硬件设备出现故障时，云主机会自动进行HA切换</w:t>
            </w:r>
          </w:p>
        </w:tc>
      </w:tr>
      <w:tr w14:paraId="20C3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bottom w:val="single" w:color="000000" w:sz="4" w:space="0"/>
              <w:right w:val="single" w:color="000000" w:sz="4" w:space="0"/>
            </w:tcBorders>
            <w:vAlign w:val="center"/>
          </w:tcPr>
          <w:p w14:paraId="0FCFE513">
            <w:pPr>
              <w:rPr>
                <w:sz w:val="24"/>
                <w:highlight w:val="none"/>
              </w:rPr>
            </w:pPr>
            <w:r>
              <w:rPr>
                <w:rFonts w:hint="eastAsia"/>
                <w:sz w:val="24"/>
                <w:highlight w:val="none"/>
              </w:rPr>
              <w:t>备份功能</w:t>
            </w:r>
          </w:p>
        </w:tc>
        <w:tc>
          <w:tcPr>
            <w:tcW w:w="5984" w:type="dxa"/>
            <w:tcBorders>
              <w:top w:val="single" w:color="000000" w:sz="4" w:space="0"/>
              <w:left w:val="single" w:color="000000" w:sz="4" w:space="0"/>
              <w:bottom w:val="single" w:color="000000" w:sz="4" w:space="0"/>
              <w:right w:val="single" w:color="000000" w:sz="4" w:space="0"/>
            </w:tcBorders>
          </w:tcPr>
          <w:p w14:paraId="3456B1D9">
            <w:pPr>
              <w:rPr>
                <w:sz w:val="24"/>
                <w:highlight w:val="none"/>
              </w:rPr>
            </w:pPr>
            <w:r>
              <w:rPr>
                <w:rFonts w:hint="eastAsia"/>
                <w:sz w:val="24"/>
                <w:highlight w:val="none"/>
              </w:rPr>
              <w:t>支持云主机备份功能，可以实现云主机的全量备份、增量备份，支持备份周期、备份策略的设定</w:t>
            </w:r>
          </w:p>
        </w:tc>
      </w:tr>
      <w:tr w14:paraId="4D81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0AD7C2D2">
            <w:pPr>
              <w:rPr>
                <w:sz w:val="24"/>
                <w:highlight w:val="none"/>
              </w:rPr>
            </w:pPr>
            <w:r>
              <w:rPr>
                <w:rFonts w:hint="eastAsia"/>
                <w:sz w:val="24"/>
                <w:highlight w:val="none"/>
              </w:rPr>
              <w:t>可操作性</w:t>
            </w:r>
          </w:p>
        </w:tc>
        <w:tc>
          <w:tcPr>
            <w:tcW w:w="5984" w:type="dxa"/>
            <w:tcBorders>
              <w:top w:val="single" w:color="000000" w:sz="4" w:space="0"/>
              <w:left w:val="single" w:color="000000" w:sz="4" w:space="0"/>
              <w:bottom w:val="single" w:color="000000" w:sz="4" w:space="0"/>
              <w:right w:val="single" w:color="000000" w:sz="4" w:space="0"/>
            </w:tcBorders>
          </w:tcPr>
          <w:p w14:paraId="33ED79B8">
            <w:pPr>
              <w:rPr>
                <w:sz w:val="24"/>
                <w:highlight w:val="none"/>
              </w:rPr>
            </w:pPr>
            <w:r>
              <w:rPr>
                <w:rFonts w:hint="eastAsia"/>
                <w:sz w:val="24"/>
                <w:highlight w:val="none"/>
              </w:rPr>
              <w:t>支持通过云管理平台，实现申请部署与使用</w:t>
            </w:r>
          </w:p>
        </w:tc>
      </w:tr>
      <w:tr w14:paraId="218D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646E92E1">
            <w:pPr>
              <w:rPr>
                <w:sz w:val="24"/>
                <w:highlight w:val="none"/>
              </w:rPr>
            </w:pPr>
            <w:r>
              <w:rPr>
                <w:rFonts w:hint="eastAsia"/>
                <w:sz w:val="24"/>
                <w:highlight w:val="none"/>
              </w:rPr>
              <w:t>安全防护</w:t>
            </w:r>
          </w:p>
        </w:tc>
        <w:tc>
          <w:tcPr>
            <w:tcW w:w="5984" w:type="dxa"/>
            <w:tcBorders>
              <w:top w:val="single" w:color="000000" w:sz="4" w:space="0"/>
              <w:left w:val="single" w:color="000000" w:sz="4" w:space="0"/>
              <w:bottom w:val="single" w:color="000000" w:sz="4" w:space="0"/>
              <w:right w:val="single" w:color="000000" w:sz="4" w:space="0"/>
            </w:tcBorders>
          </w:tcPr>
          <w:p w14:paraId="4BEAF3A4">
            <w:pPr>
              <w:rPr>
                <w:sz w:val="24"/>
                <w:highlight w:val="none"/>
              </w:rPr>
            </w:pPr>
            <w:r>
              <w:rPr>
                <w:rFonts w:hint="eastAsia"/>
                <w:sz w:val="24"/>
                <w:highlight w:val="none"/>
              </w:rPr>
              <w:t>提供防ARP欺骗、自定义防火墙功能，支持防DDos攻击；</w:t>
            </w:r>
          </w:p>
        </w:tc>
      </w:tr>
      <w:tr w14:paraId="5CBF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42976A59">
            <w:pPr>
              <w:rPr>
                <w:sz w:val="24"/>
                <w:highlight w:val="none"/>
              </w:rPr>
            </w:pPr>
            <w:r>
              <w:rPr>
                <w:rFonts w:hint="eastAsia"/>
                <w:sz w:val="24"/>
                <w:highlight w:val="none"/>
              </w:rPr>
              <w:t>弹性网络</w:t>
            </w:r>
          </w:p>
        </w:tc>
        <w:tc>
          <w:tcPr>
            <w:tcW w:w="5984" w:type="dxa"/>
            <w:tcBorders>
              <w:top w:val="single" w:color="000000" w:sz="4" w:space="0"/>
              <w:left w:val="single" w:color="000000" w:sz="4" w:space="0"/>
              <w:bottom w:val="single" w:color="000000" w:sz="4" w:space="0"/>
              <w:right w:val="single" w:color="000000" w:sz="4" w:space="0"/>
            </w:tcBorders>
          </w:tcPr>
          <w:p w14:paraId="06B07DE9">
            <w:pPr>
              <w:rPr>
                <w:sz w:val="24"/>
                <w:highlight w:val="none"/>
              </w:rPr>
            </w:pPr>
            <w:r>
              <w:rPr>
                <w:rFonts w:hint="eastAsia"/>
                <w:sz w:val="24"/>
                <w:highlight w:val="none"/>
              </w:rPr>
              <w:t>支持虚拟路由、虚拟交换机和弹性IP，用户可自定义虚拟主机的网络拓扑和IP地址；</w:t>
            </w:r>
          </w:p>
        </w:tc>
      </w:tr>
      <w:tr w14:paraId="448F1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004694CD">
            <w:pPr>
              <w:rPr>
                <w:sz w:val="24"/>
                <w:highlight w:val="none"/>
              </w:rPr>
            </w:pPr>
            <w:r>
              <w:rPr>
                <w:rFonts w:hint="eastAsia"/>
                <w:sz w:val="24"/>
                <w:highlight w:val="none"/>
              </w:rPr>
              <w:t>镜像快照</w:t>
            </w:r>
          </w:p>
        </w:tc>
        <w:tc>
          <w:tcPr>
            <w:tcW w:w="5984" w:type="dxa"/>
            <w:tcBorders>
              <w:top w:val="single" w:color="000000" w:sz="4" w:space="0"/>
              <w:left w:val="single" w:color="000000" w:sz="4" w:space="0"/>
              <w:bottom w:val="single" w:color="000000" w:sz="4" w:space="0"/>
              <w:right w:val="single" w:color="000000" w:sz="4" w:space="0"/>
            </w:tcBorders>
          </w:tcPr>
          <w:p w14:paraId="3CBD487E">
            <w:pPr>
              <w:rPr>
                <w:sz w:val="24"/>
                <w:highlight w:val="none"/>
              </w:rPr>
            </w:pPr>
            <w:r>
              <w:rPr>
                <w:rFonts w:hint="eastAsia"/>
                <w:sz w:val="24"/>
                <w:highlight w:val="none"/>
              </w:rPr>
              <w:t>创建虚拟主机时，可指定用户预先配置好的镜像文件作为模板。虚拟主机支持增量快照备份功能，提高备份效率，减小备份占用空间，并支持公共镜像、私有镜像以及共享镜像等多种方式。</w:t>
            </w:r>
          </w:p>
        </w:tc>
      </w:tr>
      <w:tr w14:paraId="645A6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42ABE206">
            <w:pPr>
              <w:rPr>
                <w:sz w:val="24"/>
                <w:highlight w:val="none"/>
              </w:rPr>
            </w:pPr>
            <w:r>
              <w:rPr>
                <w:rFonts w:hint="eastAsia"/>
                <w:sz w:val="24"/>
                <w:highlight w:val="none"/>
              </w:rPr>
              <w:t>数据存储</w:t>
            </w:r>
          </w:p>
        </w:tc>
        <w:tc>
          <w:tcPr>
            <w:tcW w:w="5984" w:type="dxa"/>
            <w:tcBorders>
              <w:top w:val="single" w:color="000000" w:sz="4" w:space="0"/>
              <w:left w:val="single" w:color="000000" w:sz="4" w:space="0"/>
              <w:bottom w:val="single" w:color="000000" w:sz="4" w:space="0"/>
              <w:right w:val="single" w:color="000000" w:sz="4" w:space="0"/>
            </w:tcBorders>
          </w:tcPr>
          <w:p w14:paraId="5F9304E8">
            <w:pPr>
              <w:rPr>
                <w:sz w:val="24"/>
                <w:highlight w:val="none"/>
              </w:rPr>
            </w:pPr>
            <w:r>
              <w:rPr>
                <w:rFonts w:hint="eastAsia"/>
                <w:sz w:val="24"/>
                <w:highlight w:val="none"/>
              </w:rPr>
              <w:t>虚拟主机底层采用分布式块存储，每个虚拟主机的镜像存储达到多副本可靠性，数据可靠性不低于99.9999%；</w:t>
            </w:r>
          </w:p>
        </w:tc>
      </w:tr>
      <w:tr w14:paraId="6BF4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6D3DE7E5">
            <w:pPr>
              <w:rPr>
                <w:sz w:val="24"/>
                <w:highlight w:val="none"/>
              </w:rPr>
            </w:pPr>
            <w:r>
              <w:rPr>
                <w:rFonts w:hint="eastAsia"/>
                <w:sz w:val="24"/>
                <w:highlight w:val="none"/>
              </w:rPr>
              <w:t>高可用性</w:t>
            </w:r>
          </w:p>
        </w:tc>
        <w:tc>
          <w:tcPr>
            <w:tcW w:w="5984" w:type="dxa"/>
            <w:tcBorders>
              <w:top w:val="single" w:color="000000" w:sz="4" w:space="0"/>
              <w:left w:val="single" w:color="000000" w:sz="4" w:space="0"/>
              <w:bottom w:val="single" w:color="000000" w:sz="4" w:space="0"/>
              <w:right w:val="single" w:color="000000" w:sz="4" w:space="0"/>
            </w:tcBorders>
          </w:tcPr>
          <w:p w14:paraId="3290EC29">
            <w:pPr>
              <w:rPr>
                <w:sz w:val="24"/>
                <w:highlight w:val="none"/>
              </w:rPr>
            </w:pPr>
            <w:r>
              <w:rPr>
                <w:rFonts w:hint="eastAsia"/>
                <w:sz w:val="24"/>
                <w:highlight w:val="none"/>
              </w:rPr>
              <w:t>虚拟主机服务采用全冗余架构，无单点故障，平均可用性不低于99.99%；</w:t>
            </w:r>
          </w:p>
        </w:tc>
      </w:tr>
      <w:tr w14:paraId="3305C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3F1A84CB">
            <w:pPr>
              <w:rPr>
                <w:sz w:val="24"/>
                <w:highlight w:val="none"/>
              </w:rPr>
            </w:pPr>
            <w:r>
              <w:rPr>
                <w:rFonts w:hint="eastAsia"/>
                <w:sz w:val="24"/>
                <w:highlight w:val="none"/>
              </w:rPr>
              <w:t>扩展性</w:t>
            </w:r>
          </w:p>
        </w:tc>
        <w:tc>
          <w:tcPr>
            <w:tcW w:w="5984" w:type="dxa"/>
            <w:tcBorders>
              <w:top w:val="single" w:color="000000" w:sz="4" w:space="0"/>
              <w:left w:val="single" w:color="000000" w:sz="4" w:space="0"/>
              <w:bottom w:val="single" w:color="000000" w:sz="4" w:space="0"/>
              <w:right w:val="single" w:color="000000" w:sz="4" w:space="0"/>
            </w:tcBorders>
          </w:tcPr>
          <w:p w14:paraId="4701F7AF">
            <w:pPr>
              <w:rPr>
                <w:sz w:val="24"/>
                <w:highlight w:val="none"/>
              </w:rPr>
            </w:pPr>
            <w:r>
              <w:rPr>
                <w:rFonts w:hint="eastAsia"/>
                <w:sz w:val="24"/>
                <w:highlight w:val="none"/>
              </w:rPr>
              <w:t>支持计算能力的垂直伸缩，支持对CPU和内存的升级与降级操作，支持增加、减少磁盘和带宽；</w:t>
            </w:r>
          </w:p>
          <w:p w14:paraId="3C3BA3A0">
            <w:pPr>
              <w:rPr>
                <w:sz w:val="24"/>
                <w:highlight w:val="none"/>
              </w:rPr>
            </w:pPr>
            <w:r>
              <w:rPr>
                <w:rFonts w:hint="eastAsia"/>
                <w:sz w:val="24"/>
                <w:highlight w:val="none"/>
              </w:rPr>
              <w:t>支持计算能力的水平伸缩，通过与负载均衡配合实现水平伸缩；</w:t>
            </w:r>
          </w:p>
        </w:tc>
      </w:tr>
      <w:tr w14:paraId="100A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restart"/>
            <w:tcBorders>
              <w:left w:val="single" w:color="000000" w:sz="4" w:space="0"/>
              <w:right w:val="single" w:color="000000" w:sz="4" w:space="0"/>
            </w:tcBorders>
            <w:shd w:val="clear" w:color="auto" w:fill="auto"/>
            <w:vAlign w:val="center"/>
          </w:tcPr>
          <w:p w14:paraId="06D6D510">
            <w:pPr>
              <w:rPr>
                <w:sz w:val="24"/>
                <w:highlight w:val="none"/>
              </w:rPr>
            </w:pPr>
            <w:r>
              <w:rPr>
                <w:rFonts w:hint="eastAsia"/>
                <w:sz w:val="24"/>
                <w:highlight w:val="none"/>
              </w:rPr>
              <w:t>基本需求</w:t>
            </w:r>
          </w:p>
          <w:p w14:paraId="2648D724">
            <w:pPr>
              <w:rPr>
                <w:sz w:val="24"/>
                <w:highlight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FFFFFF"/>
          </w:tcPr>
          <w:p w14:paraId="4EA10BF6">
            <w:pPr>
              <w:rPr>
                <w:sz w:val="24"/>
                <w:highlight w:val="none"/>
              </w:rPr>
            </w:pPr>
            <w:r>
              <w:rPr>
                <w:rFonts w:hint="eastAsia" w:ascii="宋体" w:hAnsi="宋体" w:cs="仿宋_GB2312"/>
                <w:b/>
                <w:bCs/>
                <w:sz w:val="24"/>
                <w:szCs w:val="24"/>
                <w:highlight w:val="none"/>
              </w:rPr>
              <w:t>#支持提供专属宿主机，要求支持根据自身业务情况调整CPU虚拟核数，要求提供设置虚拟核数功能（提供界面功能截图）；</w:t>
            </w:r>
          </w:p>
        </w:tc>
      </w:tr>
      <w:tr w14:paraId="6FBF3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shd w:val="clear" w:color="auto" w:fill="auto"/>
          </w:tcPr>
          <w:p w14:paraId="72D67789">
            <w:pPr>
              <w:rPr>
                <w:sz w:val="24"/>
                <w:highlight w:val="none"/>
              </w:rPr>
            </w:pPr>
          </w:p>
        </w:tc>
        <w:tc>
          <w:tcPr>
            <w:tcW w:w="5984" w:type="dxa"/>
            <w:shd w:val="clear" w:color="auto" w:fill="FFFFFF"/>
          </w:tcPr>
          <w:p w14:paraId="4F1D7F20">
            <w:pPr>
              <w:rPr>
                <w:sz w:val="24"/>
                <w:highlight w:val="none"/>
              </w:rPr>
            </w:pPr>
            <w:r>
              <w:rPr>
                <w:rFonts w:hint="eastAsia" w:ascii="宋体" w:hAnsi="宋体" w:cs="仿宋_GB2312"/>
                <w:b/>
                <w:bCs/>
                <w:sz w:val="24"/>
                <w:szCs w:val="24"/>
                <w:highlight w:val="none"/>
              </w:rPr>
              <w:t>#支持数据中心资源动态伸缩，可根据业务压力随时调整虚拟机数量，伸缩策略包含定时任务、告警触发策略等（提供界面功能截图）；</w:t>
            </w:r>
          </w:p>
        </w:tc>
      </w:tr>
      <w:tr w14:paraId="2B51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restart"/>
            <w:vAlign w:val="center"/>
          </w:tcPr>
          <w:p w14:paraId="670EB436">
            <w:pPr>
              <w:rPr>
                <w:sz w:val="24"/>
                <w:highlight w:val="none"/>
              </w:rPr>
            </w:pPr>
            <w:r>
              <w:rPr>
                <w:rFonts w:hint="eastAsia"/>
                <w:sz w:val="24"/>
                <w:highlight w:val="none"/>
              </w:rPr>
              <w:t>政务云资源及服务管理要求</w:t>
            </w:r>
          </w:p>
          <w:p w14:paraId="1F70D831">
            <w:pPr>
              <w:rPr>
                <w:sz w:val="24"/>
                <w:highlight w:val="none"/>
              </w:rPr>
            </w:pPr>
          </w:p>
        </w:tc>
        <w:tc>
          <w:tcPr>
            <w:tcW w:w="5984" w:type="dxa"/>
            <w:vAlign w:val="center"/>
          </w:tcPr>
          <w:p w14:paraId="3FEB2C94">
            <w:pPr>
              <w:rPr>
                <w:sz w:val="24"/>
                <w:highlight w:val="none"/>
              </w:rPr>
            </w:pPr>
            <w:r>
              <w:rPr>
                <w:rFonts w:hint="eastAsia" w:ascii="宋体" w:hAnsi="宋体" w:cs="仿宋_GB2312"/>
                <w:b/>
                <w:bCs/>
                <w:sz w:val="24"/>
                <w:szCs w:val="24"/>
                <w:highlight w:val="none"/>
              </w:rPr>
              <w:t>#投标人提供云资源可视化</w:t>
            </w:r>
            <w:r>
              <w:rPr>
                <w:rFonts w:hint="eastAsia" w:ascii="宋体" w:hAnsi="宋体" w:cs="仿宋_GB2312"/>
                <w:b/>
                <w:bCs/>
                <w:sz w:val="24"/>
                <w:szCs w:val="24"/>
                <w:highlight w:val="none"/>
                <w:lang w:eastAsia="zh-Hans"/>
              </w:rPr>
              <w:t>监控</w:t>
            </w:r>
            <w:r>
              <w:rPr>
                <w:rFonts w:hint="eastAsia" w:ascii="宋体" w:hAnsi="宋体" w:cs="仿宋_GB2312"/>
                <w:b/>
                <w:bCs/>
                <w:sz w:val="24"/>
                <w:szCs w:val="24"/>
                <w:highlight w:val="none"/>
              </w:rPr>
              <w:t>管理能力，可提供基于业务系统的资源概览、云主机、CPU、内存资源的统计展示（提供界面功能截图）等</w:t>
            </w:r>
            <w:r>
              <w:rPr>
                <w:rFonts w:hint="eastAsia" w:ascii="宋体" w:hAnsi="宋体" w:cs="仿宋_GB2312"/>
                <w:b/>
                <w:bCs/>
                <w:sz w:val="24"/>
                <w:szCs w:val="24"/>
                <w:highlight w:val="none"/>
                <w:lang w:eastAsia="zh-Hans"/>
              </w:rPr>
              <w:t>。</w:t>
            </w:r>
          </w:p>
        </w:tc>
      </w:tr>
      <w:tr w14:paraId="62299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Pr>
          <w:p w14:paraId="69530ACB">
            <w:pPr>
              <w:rPr>
                <w:sz w:val="24"/>
                <w:highlight w:val="none"/>
              </w:rPr>
            </w:pPr>
          </w:p>
        </w:tc>
        <w:tc>
          <w:tcPr>
            <w:tcW w:w="5984" w:type="dxa"/>
            <w:vAlign w:val="center"/>
          </w:tcPr>
          <w:p w14:paraId="7759800F">
            <w:pPr>
              <w:rPr>
                <w:sz w:val="24"/>
                <w:highlight w:val="none"/>
              </w:rPr>
            </w:pPr>
            <w:r>
              <w:rPr>
                <w:rFonts w:hint="eastAsia" w:ascii="宋体" w:hAnsi="宋体" w:cs="仿宋_GB2312"/>
                <w:b/>
                <w:bCs/>
                <w:sz w:val="24"/>
                <w:szCs w:val="24"/>
                <w:highlight w:val="none"/>
              </w:rPr>
              <w:t>#投标人提供</w:t>
            </w:r>
            <w:r>
              <w:rPr>
                <w:rFonts w:hint="eastAsia" w:ascii="宋体" w:hAnsi="宋体" w:cs="仿宋_GB2312"/>
                <w:b/>
                <w:bCs/>
                <w:sz w:val="24"/>
                <w:szCs w:val="24"/>
                <w:highlight w:val="none"/>
                <w:lang w:eastAsia="zh-Hans"/>
              </w:rPr>
              <w:t>业务</w:t>
            </w:r>
            <w:r>
              <w:rPr>
                <w:rFonts w:hint="eastAsia" w:ascii="宋体" w:hAnsi="宋体" w:cs="仿宋_GB2312"/>
                <w:b/>
                <w:bCs/>
                <w:sz w:val="24"/>
                <w:szCs w:val="24"/>
                <w:highlight w:val="none"/>
              </w:rPr>
              <w:t>可视化</w:t>
            </w:r>
            <w:r>
              <w:rPr>
                <w:rFonts w:hint="eastAsia" w:ascii="宋体" w:hAnsi="宋体" w:cs="仿宋_GB2312"/>
                <w:b/>
                <w:bCs/>
                <w:sz w:val="24"/>
                <w:szCs w:val="24"/>
                <w:highlight w:val="none"/>
                <w:lang w:eastAsia="zh-Hans"/>
              </w:rPr>
              <w:t>监控管理</w:t>
            </w:r>
            <w:r>
              <w:rPr>
                <w:rFonts w:hint="eastAsia" w:ascii="宋体" w:hAnsi="宋体" w:cs="仿宋_GB2312"/>
                <w:b/>
                <w:bCs/>
                <w:sz w:val="24"/>
                <w:szCs w:val="24"/>
                <w:highlight w:val="none"/>
              </w:rPr>
              <w:t>能力，支持业务探活（提供界面功能截图），可清晰展示业务系统及互联网地址的关联关系以及探活线路的监测状态</w:t>
            </w:r>
            <w:r>
              <w:rPr>
                <w:rFonts w:hint="eastAsia" w:ascii="宋体" w:hAnsi="宋体" w:cs="仿宋_GB2312"/>
                <w:b/>
                <w:bCs/>
                <w:sz w:val="24"/>
                <w:szCs w:val="24"/>
                <w:highlight w:val="none"/>
                <w:lang w:eastAsia="zh-Hans"/>
              </w:rPr>
              <w:t>。</w:t>
            </w:r>
          </w:p>
        </w:tc>
      </w:tr>
      <w:tr w14:paraId="30045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Pr>
          <w:p w14:paraId="695C5E36">
            <w:pPr>
              <w:rPr>
                <w:sz w:val="24"/>
                <w:highlight w:val="none"/>
              </w:rPr>
            </w:pPr>
          </w:p>
        </w:tc>
        <w:tc>
          <w:tcPr>
            <w:tcW w:w="5984" w:type="dxa"/>
            <w:vAlign w:val="center"/>
          </w:tcPr>
          <w:p w14:paraId="7FA7AE27">
            <w:pPr>
              <w:rPr>
                <w:sz w:val="24"/>
                <w:highlight w:val="none"/>
              </w:rPr>
            </w:pPr>
            <w:r>
              <w:rPr>
                <w:rFonts w:hint="eastAsia" w:ascii="宋体" w:hAnsi="宋体" w:cs="仿宋_GB2312"/>
                <w:b/>
                <w:bCs/>
                <w:sz w:val="24"/>
                <w:szCs w:val="24"/>
                <w:highlight w:val="none"/>
              </w:rPr>
              <w:t>#投标人提供可视化管理能力，支持针对业务系统资源的BI数据分析能力（提供界面功能截图），包括使用趋势、资源使用量等；</w:t>
            </w:r>
          </w:p>
        </w:tc>
      </w:tr>
      <w:tr w14:paraId="64B0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Pr>
          <w:p w14:paraId="5EDF61E3">
            <w:pPr>
              <w:rPr>
                <w:sz w:val="24"/>
                <w:highlight w:val="none"/>
              </w:rPr>
            </w:pPr>
          </w:p>
        </w:tc>
        <w:tc>
          <w:tcPr>
            <w:tcW w:w="5984" w:type="dxa"/>
            <w:vAlign w:val="center"/>
          </w:tcPr>
          <w:p w14:paraId="3543667E">
            <w:pPr>
              <w:rPr>
                <w:rFonts w:ascii="宋体" w:hAnsi="宋体" w:cs="仿宋_GB2312"/>
                <w:b/>
                <w:bCs/>
                <w:sz w:val="24"/>
                <w:szCs w:val="24"/>
                <w:highlight w:val="none"/>
              </w:rPr>
            </w:pPr>
            <w:r>
              <w:rPr>
                <w:rFonts w:hint="eastAsia" w:ascii="宋体" w:hAnsi="宋体" w:cs="仿宋_GB2312"/>
                <w:b/>
                <w:bCs/>
                <w:sz w:val="24"/>
                <w:szCs w:val="24"/>
                <w:highlight w:val="none"/>
              </w:rPr>
              <w:t>#可提供对应资源的云效率统计（提供界面功能截图）；</w:t>
            </w:r>
          </w:p>
        </w:tc>
      </w:tr>
      <w:tr w14:paraId="6EE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Pr>
          <w:p w14:paraId="12E166F9">
            <w:pPr>
              <w:rPr>
                <w:sz w:val="24"/>
                <w:highlight w:val="none"/>
              </w:rPr>
            </w:pPr>
          </w:p>
        </w:tc>
        <w:tc>
          <w:tcPr>
            <w:tcW w:w="5984" w:type="dxa"/>
            <w:vAlign w:val="center"/>
          </w:tcPr>
          <w:p w14:paraId="0A6FD2DF">
            <w:pPr>
              <w:rPr>
                <w:sz w:val="24"/>
                <w:highlight w:val="none"/>
              </w:rPr>
            </w:pPr>
            <w:r>
              <w:rPr>
                <w:rFonts w:hint="eastAsia" w:ascii="宋体" w:hAnsi="宋体" w:cs="仿宋_GB2312"/>
                <w:b/>
                <w:bCs/>
                <w:sz w:val="24"/>
                <w:szCs w:val="24"/>
                <w:highlight w:val="none"/>
              </w:rPr>
              <w:t>#投标人提供业务监控告警可视化展示，包括云主机告警、物理机告警、业务拨测告警等（提供界面功能截图），</w:t>
            </w:r>
            <w:r>
              <w:rPr>
                <w:rFonts w:hint="eastAsia" w:ascii="宋体" w:hAnsi="宋体" w:cs="仿宋_GB2312"/>
                <w:sz w:val="24"/>
                <w:szCs w:val="24"/>
                <w:highlight w:val="none"/>
              </w:rPr>
              <w:t>可展示告警策略规则、告警时间、告警恢复时间等</w:t>
            </w:r>
            <w:r>
              <w:rPr>
                <w:rFonts w:hint="eastAsia" w:ascii="宋体" w:hAnsi="宋体" w:cs="仿宋_GB2312"/>
                <w:sz w:val="24"/>
                <w:szCs w:val="24"/>
                <w:highlight w:val="none"/>
                <w:lang w:eastAsia="zh-Hans"/>
              </w:rPr>
              <w:t>。</w:t>
            </w:r>
          </w:p>
        </w:tc>
      </w:tr>
    </w:tbl>
    <w:p w14:paraId="3AD19545">
      <w:pPr>
        <w:pStyle w:val="2"/>
        <w:rPr>
          <w:rFonts w:hint="eastAsia"/>
          <w:highlight w:val="none"/>
        </w:rPr>
      </w:pPr>
    </w:p>
    <w:p w14:paraId="3BEF02AB">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（2）物理服务器技术需求</w:t>
      </w:r>
    </w:p>
    <w:p w14:paraId="223C174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提供裸金属主机服务，云服务商根据需求提供裸金属物理主机（</w:t>
      </w:r>
      <w:r>
        <w:rPr>
          <w:rFonts w:hint="eastAsia" w:ascii="宋体" w:hAnsi="宋体" w:eastAsia="宋体" w:cs="宋体"/>
          <w:sz w:val="24"/>
          <w:szCs w:val="24"/>
          <w:highlight w:val="none"/>
          <w:lang w:eastAsia="zh-CN"/>
        </w:rPr>
        <w:t>支持</w:t>
      </w:r>
      <w:r>
        <w:rPr>
          <w:rFonts w:hint="eastAsia" w:ascii="宋体" w:hAnsi="宋体" w:eastAsia="宋体" w:cs="宋体"/>
          <w:sz w:val="24"/>
          <w:szCs w:val="24"/>
          <w:highlight w:val="none"/>
        </w:rPr>
        <w:t>X86、ARM、C86</w:t>
      </w:r>
      <w:r>
        <w:rPr>
          <w:rFonts w:hint="eastAsia" w:ascii="宋体" w:hAnsi="宋体" w:eastAsia="宋体" w:cs="宋体"/>
          <w:sz w:val="24"/>
          <w:szCs w:val="24"/>
          <w:highlight w:val="none"/>
          <w:lang w:eastAsia="zh-CN"/>
        </w:rPr>
        <w:t>等架构</w:t>
      </w:r>
      <w:r>
        <w:rPr>
          <w:rFonts w:hint="eastAsia" w:ascii="宋体" w:hAnsi="宋体" w:eastAsia="宋体" w:cs="宋体"/>
          <w:sz w:val="24"/>
          <w:szCs w:val="24"/>
          <w:highlight w:val="none"/>
        </w:rPr>
        <w:t>）。</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6"/>
        <w:gridCol w:w="6446"/>
      </w:tblGrid>
      <w:tr w14:paraId="717D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B03A73F">
            <w:pPr>
              <w:rPr>
                <w:rFonts w:hint="eastAsia" w:ascii="宋体" w:hAnsi="宋体" w:eastAsia="宋体" w:cs="宋体"/>
                <w:sz w:val="24"/>
                <w:szCs w:val="24"/>
                <w:highlight w:val="none"/>
              </w:rPr>
            </w:pPr>
            <w:r>
              <w:rPr>
                <w:rFonts w:hint="eastAsia" w:ascii="宋体" w:hAnsi="宋体" w:eastAsia="宋体" w:cs="宋体"/>
                <w:sz w:val="24"/>
                <w:szCs w:val="24"/>
                <w:highlight w:val="none"/>
              </w:rPr>
              <w:t>指标项</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38686D28">
            <w:pPr>
              <w:rPr>
                <w:rFonts w:hint="eastAsia" w:ascii="宋体" w:hAnsi="宋体" w:eastAsia="宋体" w:cs="宋体"/>
                <w:sz w:val="24"/>
                <w:szCs w:val="24"/>
                <w:highlight w:val="none"/>
              </w:rPr>
            </w:pPr>
            <w:r>
              <w:rPr>
                <w:rFonts w:hint="eastAsia" w:ascii="宋体" w:hAnsi="宋体" w:eastAsia="宋体" w:cs="宋体"/>
                <w:sz w:val="24"/>
                <w:szCs w:val="24"/>
                <w:highlight w:val="none"/>
              </w:rPr>
              <w:t>规格要求</w:t>
            </w:r>
          </w:p>
        </w:tc>
      </w:tr>
      <w:tr w14:paraId="3342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4A6AB468">
            <w:pPr>
              <w:rPr>
                <w:rFonts w:hint="eastAsia" w:ascii="宋体" w:hAnsi="宋体" w:eastAsia="宋体" w:cs="宋体"/>
                <w:sz w:val="24"/>
                <w:szCs w:val="24"/>
                <w:highlight w:val="none"/>
              </w:rPr>
            </w:pPr>
            <w:r>
              <w:rPr>
                <w:rFonts w:hint="eastAsia" w:ascii="宋体" w:hAnsi="宋体" w:eastAsia="宋体" w:cs="宋体"/>
                <w:sz w:val="24"/>
                <w:szCs w:val="24"/>
                <w:highlight w:val="none"/>
              </w:rPr>
              <w:t>性能要求</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112329D1">
            <w:pPr>
              <w:rPr>
                <w:rFonts w:hint="eastAsia" w:ascii="宋体" w:hAnsi="宋体" w:eastAsia="宋体" w:cs="宋体"/>
                <w:sz w:val="24"/>
                <w:szCs w:val="24"/>
                <w:highlight w:val="none"/>
              </w:rPr>
            </w:pPr>
            <w:r>
              <w:rPr>
                <w:rFonts w:hint="eastAsia" w:ascii="宋体" w:hAnsi="宋体" w:eastAsia="宋体" w:cs="宋体"/>
                <w:sz w:val="24"/>
                <w:szCs w:val="24"/>
                <w:highlight w:val="none"/>
              </w:rPr>
              <w:t>至少提供以下规格物理机以及配件规格供用户租用</w:t>
            </w:r>
          </w:p>
          <w:p w14:paraId="62CB23C6">
            <w:pPr>
              <w:rPr>
                <w:rFonts w:hint="eastAsia" w:ascii="宋体" w:hAnsi="宋体" w:eastAsia="宋体" w:cs="宋体"/>
                <w:sz w:val="24"/>
                <w:szCs w:val="24"/>
                <w:highlight w:val="none"/>
              </w:rPr>
            </w:pPr>
            <w:r>
              <w:rPr>
                <w:rFonts w:hint="eastAsia" w:ascii="宋体" w:hAnsi="宋体" w:eastAsia="宋体" w:cs="宋体"/>
                <w:sz w:val="24"/>
                <w:szCs w:val="24"/>
                <w:highlight w:val="none"/>
              </w:rPr>
              <w:t>物理服务器配置1：双路每CPU核数≥32核，主频 ≥2.0GHz，128G内存，2块600GSAS硕盘，2个HBA卡，2个万兆端口。</w:t>
            </w:r>
          </w:p>
          <w:p w14:paraId="652B23D3">
            <w:pPr>
              <w:rPr>
                <w:rFonts w:hint="eastAsia" w:ascii="宋体" w:hAnsi="宋体" w:eastAsia="宋体" w:cs="宋体"/>
                <w:sz w:val="24"/>
                <w:szCs w:val="24"/>
                <w:highlight w:val="none"/>
              </w:rPr>
            </w:pPr>
            <w:r>
              <w:rPr>
                <w:rFonts w:hint="eastAsia" w:ascii="宋体" w:hAnsi="宋体" w:eastAsia="宋体" w:cs="宋体"/>
                <w:sz w:val="24"/>
                <w:szCs w:val="24"/>
                <w:highlight w:val="none"/>
              </w:rPr>
              <w:t>物理服务器增配服务（包含X86、ARM、C86）</w:t>
            </w:r>
          </w:p>
          <w:p w14:paraId="79D06D2E">
            <w:pPr>
              <w:rPr>
                <w:rFonts w:hint="eastAsia" w:ascii="宋体" w:hAnsi="宋体" w:eastAsia="宋体" w:cs="宋体"/>
                <w:sz w:val="24"/>
                <w:szCs w:val="24"/>
                <w:highlight w:val="none"/>
              </w:rPr>
            </w:pPr>
            <w:r>
              <w:rPr>
                <w:rFonts w:hint="eastAsia" w:ascii="宋体" w:hAnsi="宋体" w:eastAsia="宋体" w:cs="宋体"/>
                <w:sz w:val="24"/>
                <w:szCs w:val="24"/>
                <w:highlight w:val="none"/>
              </w:rPr>
              <w:t>内存：32GB内存</w:t>
            </w:r>
          </w:p>
          <w:p w14:paraId="14405779">
            <w:pPr>
              <w:rPr>
                <w:rFonts w:hint="eastAsia" w:ascii="宋体" w:hAnsi="宋体" w:eastAsia="宋体" w:cs="宋体"/>
                <w:sz w:val="24"/>
                <w:szCs w:val="24"/>
                <w:highlight w:val="none"/>
              </w:rPr>
            </w:pPr>
            <w:r>
              <w:rPr>
                <w:rFonts w:hint="eastAsia" w:ascii="宋体" w:hAnsi="宋体" w:eastAsia="宋体" w:cs="宋体"/>
                <w:sz w:val="24"/>
                <w:szCs w:val="24"/>
                <w:highlight w:val="none"/>
              </w:rPr>
              <w:t>硬盘1：480GB SSD硬盘</w:t>
            </w:r>
          </w:p>
          <w:p w14:paraId="7026187A">
            <w:pPr>
              <w:pStyle w:val="2"/>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硬盘2：4TB sata硬盘</w:t>
            </w:r>
          </w:p>
        </w:tc>
      </w:tr>
      <w:tr w14:paraId="29BC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00198129">
            <w:pPr>
              <w:rPr>
                <w:rFonts w:hint="eastAsia" w:ascii="宋体" w:hAnsi="宋体" w:eastAsia="宋体" w:cs="宋体"/>
                <w:sz w:val="24"/>
                <w:szCs w:val="24"/>
                <w:highlight w:val="none"/>
              </w:rPr>
            </w:pPr>
            <w:r>
              <w:rPr>
                <w:rFonts w:hint="eastAsia" w:ascii="宋体" w:hAnsi="宋体" w:eastAsia="宋体" w:cs="宋体"/>
                <w:sz w:val="24"/>
                <w:szCs w:val="24"/>
                <w:highlight w:val="none"/>
              </w:rPr>
              <w:t>管理权限</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0B977DEA">
            <w:pPr>
              <w:rPr>
                <w:rFonts w:hint="eastAsia" w:ascii="宋体" w:hAnsi="宋体" w:eastAsia="宋体" w:cs="宋体"/>
                <w:sz w:val="24"/>
                <w:szCs w:val="24"/>
                <w:highlight w:val="none"/>
              </w:rPr>
            </w:pPr>
            <w:r>
              <w:rPr>
                <w:rFonts w:hint="eastAsia" w:ascii="宋体" w:hAnsi="宋体" w:eastAsia="宋体" w:cs="宋体"/>
                <w:sz w:val="24"/>
                <w:szCs w:val="24"/>
                <w:highlight w:val="none"/>
              </w:rPr>
              <w:t>用户对云主机有完全的控制权，具有管理员权限</w:t>
            </w:r>
          </w:p>
        </w:tc>
      </w:tr>
      <w:tr w14:paraId="5BAB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45F3EB4B">
            <w:pPr>
              <w:rPr>
                <w:rFonts w:hint="eastAsia" w:ascii="宋体" w:hAnsi="宋体" w:eastAsia="宋体" w:cs="宋体"/>
                <w:sz w:val="24"/>
                <w:szCs w:val="24"/>
                <w:highlight w:val="none"/>
              </w:rPr>
            </w:pPr>
            <w:r>
              <w:rPr>
                <w:rFonts w:hint="eastAsia" w:ascii="宋体" w:hAnsi="宋体" w:eastAsia="宋体" w:cs="宋体"/>
                <w:sz w:val="24"/>
                <w:szCs w:val="24"/>
                <w:highlight w:val="none"/>
              </w:rPr>
              <w:t>扩展性</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3C255040">
            <w:pPr>
              <w:rPr>
                <w:rFonts w:hint="eastAsia" w:ascii="宋体" w:hAnsi="宋体" w:eastAsia="宋体" w:cs="宋体"/>
                <w:sz w:val="24"/>
                <w:szCs w:val="24"/>
                <w:highlight w:val="none"/>
              </w:rPr>
            </w:pPr>
            <w:r>
              <w:rPr>
                <w:rFonts w:hint="eastAsia" w:ascii="宋体" w:hAnsi="宋体" w:eastAsia="宋体" w:cs="宋体"/>
                <w:sz w:val="24"/>
                <w:szCs w:val="24"/>
                <w:highlight w:val="none"/>
              </w:rPr>
              <w:t>可支持扩展GPU卡</w:t>
            </w:r>
          </w:p>
        </w:tc>
      </w:tr>
      <w:tr w14:paraId="6B14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20147E0">
            <w:pPr>
              <w:rPr>
                <w:rFonts w:hint="eastAsia" w:ascii="宋体" w:hAnsi="宋体" w:eastAsia="宋体" w:cs="宋体"/>
                <w:sz w:val="24"/>
                <w:szCs w:val="24"/>
                <w:highlight w:val="none"/>
              </w:rPr>
            </w:pPr>
            <w:r>
              <w:rPr>
                <w:rFonts w:hint="eastAsia" w:ascii="宋体" w:hAnsi="宋体" w:eastAsia="宋体" w:cs="宋体"/>
                <w:sz w:val="24"/>
                <w:szCs w:val="24"/>
                <w:highlight w:val="none"/>
              </w:rPr>
              <w:t>可操作性</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3BD07F94">
            <w:pPr>
              <w:rPr>
                <w:rFonts w:hint="eastAsia" w:ascii="宋体" w:hAnsi="宋体" w:eastAsia="宋体" w:cs="宋体"/>
                <w:sz w:val="24"/>
                <w:szCs w:val="24"/>
                <w:highlight w:val="none"/>
              </w:rPr>
            </w:pPr>
            <w:r>
              <w:rPr>
                <w:rFonts w:hint="eastAsia" w:ascii="宋体" w:hAnsi="宋体" w:eastAsia="宋体" w:cs="宋体"/>
                <w:sz w:val="24"/>
                <w:szCs w:val="24"/>
                <w:highlight w:val="none"/>
              </w:rPr>
              <w:t>支持通过云管理平台，实现申请部署与使用</w:t>
            </w:r>
          </w:p>
        </w:tc>
      </w:tr>
    </w:tbl>
    <w:p w14:paraId="6B97E575">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（3）GPU卡算力服务技术需求</w:t>
      </w:r>
    </w:p>
    <w:p w14:paraId="6552E8C7">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云服务商能提供支持GPU卡服务包括但不限于GPU、NPU等（需适配X86、ARM、C86等架构）。 </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6"/>
        <w:gridCol w:w="6446"/>
      </w:tblGrid>
      <w:tr w14:paraId="560F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595DD854">
            <w:pPr>
              <w:rPr>
                <w:rFonts w:hint="eastAsia" w:ascii="宋体" w:hAnsi="宋体" w:eastAsia="宋体" w:cs="宋体"/>
                <w:sz w:val="24"/>
                <w:szCs w:val="24"/>
                <w:highlight w:val="none"/>
              </w:rPr>
            </w:pPr>
            <w:r>
              <w:rPr>
                <w:rFonts w:hint="eastAsia" w:ascii="宋体" w:hAnsi="宋体" w:eastAsia="宋体" w:cs="宋体"/>
                <w:sz w:val="24"/>
                <w:szCs w:val="24"/>
                <w:highlight w:val="none"/>
              </w:rPr>
              <w:t>指标项</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1D63314C">
            <w:pPr>
              <w:rPr>
                <w:rFonts w:hint="eastAsia" w:ascii="宋体" w:hAnsi="宋体" w:eastAsia="宋体" w:cs="宋体"/>
                <w:sz w:val="24"/>
                <w:szCs w:val="24"/>
                <w:highlight w:val="none"/>
              </w:rPr>
            </w:pPr>
            <w:r>
              <w:rPr>
                <w:rFonts w:hint="eastAsia" w:ascii="宋体" w:hAnsi="宋体" w:eastAsia="宋体" w:cs="宋体"/>
                <w:sz w:val="24"/>
                <w:szCs w:val="24"/>
                <w:highlight w:val="none"/>
              </w:rPr>
              <w:t>规格要求</w:t>
            </w:r>
          </w:p>
        </w:tc>
      </w:tr>
      <w:tr w14:paraId="3D3D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17ADB0CC">
            <w:pPr>
              <w:rPr>
                <w:rFonts w:hint="eastAsia" w:ascii="宋体" w:hAnsi="宋体" w:eastAsia="宋体" w:cs="宋体"/>
                <w:sz w:val="24"/>
                <w:szCs w:val="24"/>
                <w:highlight w:val="none"/>
              </w:rPr>
            </w:pPr>
            <w:r>
              <w:rPr>
                <w:rFonts w:hint="eastAsia" w:ascii="宋体" w:hAnsi="宋体" w:eastAsia="宋体" w:cs="宋体"/>
                <w:sz w:val="24"/>
                <w:szCs w:val="24"/>
                <w:highlight w:val="none"/>
              </w:rPr>
              <w:t>部署要求</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623E1E78">
            <w:pPr>
              <w:rPr>
                <w:rFonts w:hint="eastAsia" w:ascii="宋体" w:hAnsi="宋体" w:eastAsia="宋体" w:cs="宋体"/>
                <w:sz w:val="24"/>
                <w:szCs w:val="24"/>
                <w:highlight w:val="none"/>
              </w:rPr>
            </w:pPr>
            <w:r>
              <w:rPr>
                <w:rFonts w:hint="eastAsia" w:ascii="宋体" w:hAnsi="宋体" w:eastAsia="宋体" w:cs="宋体"/>
                <w:sz w:val="24"/>
                <w:szCs w:val="24"/>
                <w:highlight w:val="none"/>
              </w:rPr>
              <w:t>基于X86、ARM、C86等架构计算平台提供图形计算服务</w:t>
            </w:r>
          </w:p>
        </w:tc>
      </w:tr>
      <w:tr w14:paraId="4CFA5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5B7640C">
            <w:pPr>
              <w:rPr>
                <w:rFonts w:hint="eastAsia" w:ascii="宋体" w:hAnsi="宋体" w:eastAsia="宋体" w:cs="宋体"/>
                <w:sz w:val="24"/>
                <w:szCs w:val="24"/>
                <w:highlight w:val="none"/>
              </w:rPr>
            </w:pPr>
            <w:r>
              <w:rPr>
                <w:rFonts w:hint="eastAsia" w:ascii="宋体" w:hAnsi="宋体" w:eastAsia="宋体" w:cs="宋体"/>
                <w:sz w:val="24"/>
                <w:szCs w:val="24"/>
                <w:highlight w:val="none"/>
              </w:rPr>
              <w:t>性能要求</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0404392D">
            <w:pPr>
              <w:rPr>
                <w:rFonts w:hint="eastAsia" w:ascii="宋体" w:hAnsi="宋体" w:eastAsia="宋体" w:cs="宋体"/>
                <w:sz w:val="24"/>
                <w:szCs w:val="24"/>
                <w:highlight w:val="none"/>
              </w:rPr>
            </w:pPr>
            <w:r>
              <w:rPr>
                <w:rFonts w:hint="eastAsia" w:ascii="宋体" w:hAnsi="宋体" w:eastAsia="宋体" w:cs="宋体"/>
                <w:sz w:val="24"/>
                <w:szCs w:val="24"/>
                <w:highlight w:val="none"/>
              </w:rPr>
              <w:t>GPU至少提供以下规格供用户租用</w:t>
            </w:r>
          </w:p>
          <w:p w14:paraId="49144BD8">
            <w:pPr>
              <w:rPr>
                <w:rFonts w:hint="eastAsia" w:ascii="宋体" w:hAnsi="宋体" w:eastAsia="宋体" w:cs="宋体"/>
                <w:sz w:val="24"/>
                <w:szCs w:val="24"/>
                <w:highlight w:val="none"/>
              </w:rPr>
            </w:pPr>
            <w:r>
              <w:rPr>
                <w:rFonts w:hint="eastAsia" w:ascii="宋体" w:hAnsi="宋体" w:eastAsia="宋体" w:cs="宋体"/>
                <w:sz w:val="24"/>
                <w:szCs w:val="24"/>
                <w:highlight w:val="none"/>
              </w:rPr>
              <w:t>GPU显存1GB（需同时租用算力资源、云主机或物理服务器资源，联合使用）</w:t>
            </w:r>
          </w:p>
          <w:p w14:paraId="4CB929DC">
            <w:pPr>
              <w:pStyle w:val="2"/>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半精度浮点运算能力（需同时租用GPU显存、云主机或物理服务器资源，联合使用）</w:t>
            </w:r>
          </w:p>
        </w:tc>
      </w:tr>
      <w:tr w14:paraId="75A1C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09A9A00">
            <w:pPr>
              <w:rPr>
                <w:rFonts w:hint="eastAsia" w:ascii="宋体" w:hAnsi="宋体" w:eastAsia="宋体" w:cs="宋体"/>
                <w:sz w:val="24"/>
                <w:szCs w:val="24"/>
                <w:highlight w:val="none"/>
              </w:rPr>
            </w:pPr>
            <w:r>
              <w:rPr>
                <w:rFonts w:hint="eastAsia" w:ascii="宋体" w:hAnsi="宋体" w:eastAsia="宋体" w:cs="宋体"/>
                <w:sz w:val="24"/>
                <w:szCs w:val="24"/>
                <w:highlight w:val="none"/>
              </w:rPr>
              <w:t>可操作性</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14:paraId="7085DC28">
            <w:pPr>
              <w:rPr>
                <w:rFonts w:hint="eastAsia" w:ascii="宋体" w:hAnsi="宋体" w:eastAsia="宋体" w:cs="宋体"/>
                <w:sz w:val="24"/>
                <w:szCs w:val="24"/>
                <w:highlight w:val="none"/>
              </w:rPr>
            </w:pPr>
            <w:r>
              <w:rPr>
                <w:rFonts w:hint="eastAsia" w:ascii="宋体" w:hAnsi="宋体" w:eastAsia="宋体" w:cs="宋体"/>
                <w:sz w:val="24"/>
                <w:szCs w:val="24"/>
                <w:highlight w:val="none"/>
              </w:rPr>
              <w:t>提供的GPU卡算力服务，支持查看算力卡使用率等信息。</w:t>
            </w:r>
          </w:p>
          <w:p w14:paraId="19DCADCC">
            <w:pPr>
              <w:rPr>
                <w:rFonts w:hint="eastAsia" w:ascii="宋体" w:hAnsi="宋体" w:eastAsia="宋体" w:cs="宋体"/>
                <w:sz w:val="24"/>
                <w:szCs w:val="24"/>
                <w:highlight w:val="none"/>
              </w:rPr>
            </w:pPr>
            <w:r>
              <w:rPr>
                <w:rFonts w:hint="eastAsia" w:ascii="宋体" w:hAnsi="宋体" w:eastAsia="宋体" w:cs="宋体"/>
                <w:sz w:val="24"/>
                <w:szCs w:val="24"/>
                <w:highlight w:val="none"/>
              </w:rPr>
              <w:t>配合云主机使用的GPU卡需支持将一个或多个 GPU 采用直通虚拟化技术透传给云服务器。</w:t>
            </w:r>
          </w:p>
        </w:tc>
      </w:tr>
    </w:tbl>
    <w:p w14:paraId="5D24D8C4">
      <w:pPr>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2 存储服务 </w:t>
      </w:r>
    </w:p>
    <w:p w14:paraId="32666B8F">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2.1服务内容</w:t>
      </w:r>
    </w:p>
    <w:p w14:paraId="49531411">
      <w:pPr>
        <w:pStyle w:val="3"/>
        <w:snapToGrid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14:paraId="1AF144D2">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2.2服务标准</w:t>
      </w:r>
    </w:p>
    <w:p w14:paraId="27BB79DF">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（1）普通性能存储</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6"/>
        <w:gridCol w:w="6386"/>
      </w:tblGrid>
      <w:tr w14:paraId="4B1C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57A291BC">
            <w:pPr>
              <w:rPr>
                <w:rFonts w:hint="eastAsia" w:ascii="宋体" w:hAnsi="宋体" w:eastAsia="宋体" w:cs="宋体"/>
                <w:sz w:val="24"/>
                <w:szCs w:val="24"/>
                <w:highlight w:val="none"/>
              </w:rPr>
            </w:pPr>
            <w:r>
              <w:rPr>
                <w:rFonts w:hint="eastAsia" w:ascii="宋体" w:hAnsi="宋体" w:eastAsia="宋体" w:cs="宋体"/>
                <w:sz w:val="24"/>
                <w:szCs w:val="24"/>
                <w:highlight w:val="none"/>
              </w:rPr>
              <w:t>指标项</w:t>
            </w:r>
          </w:p>
        </w:tc>
        <w:tc>
          <w:tcPr>
            <w:tcW w:w="6386" w:type="dxa"/>
            <w:noWrap w:val="0"/>
            <w:tcMar>
              <w:top w:w="0" w:type="dxa"/>
              <w:left w:w="108" w:type="dxa"/>
              <w:bottom w:w="0" w:type="dxa"/>
              <w:right w:w="108" w:type="dxa"/>
            </w:tcMar>
            <w:vAlign w:val="top"/>
          </w:tcPr>
          <w:p w14:paraId="16569A18">
            <w:pPr>
              <w:rPr>
                <w:rFonts w:hint="eastAsia" w:ascii="宋体" w:hAnsi="宋体" w:eastAsia="宋体" w:cs="宋体"/>
                <w:sz w:val="24"/>
                <w:szCs w:val="24"/>
                <w:highlight w:val="none"/>
              </w:rPr>
            </w:pPr>
            <w:r>
              <w:rPr>
                <w:rFonts w:hint="eastAsia" w:ascii="宋体" w:hAnsi="宋体" w:eastAsia="宋体" w:cs="宋体"/>
                <w:sz w:val="24"/>
                <w:szCs w:val="24"/>
                <w:highlight w:val="none"/>
              </w:rPr>
              <w:t>规格要求</w:t>
            </w:r>
          </w:p>
        </w:tc>
      </w:tr>
      <w:tr w14:paraId="23E6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59A56A0D">
            <w:pPr>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6386" w:type="dxa"/>
            <w:noWrap w:val="0"/>
            <w:tcMar>
              <w:top w:w="0" w:type="dxa"/>
              <w:left w:w="108" w:type="dxa"/>
              <w:bottom w:w="0" w:type="dxa"/>
              <w:right w:w="108" w:type="dxa"/>
            </w:tcMar>
            <w:vAlign w:val="top"/>
          </w:tcPr>
          <w:p w14:paraId="4E0E0B91">
            <w:pPr>
              <w:rPr>
                <w:rFonts w:hint="eastAsia" w:ascii="宋体" w:hAnsi="宋体" w:eastAsia="宋体" w:cs="宋体"/>
                <w:sz w:val="24"/>
                <w:szCs w:val="24"/>
                <w:highlight w:val="none"/>
              </w:rPr>
            </w:pPr>
            <w:r>
              <w:rPr>
                <w:rFonts w:hint="eastAsia" w:ascii="宋体" w:hAnsi="宋体" w:eastAsia="宋体" w:cs="宋体"/>
                <w:sz w:val="24"/>
                <w:szCs w:val="24"/>
                <w:highlight w:val="none"/>
              </w:rPr>
              <w:t>提供普通存储服务，要求稳定可靠，确保数据可靠性99.9999%</w:t>
            </w:r>
          </w:p>
        </w:tc>
      </w:tr>
      <w:tr w14:paraId="4E3E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36" w:type="dxa"/>
            <w:noWrap w:val="0"/>
            <w:tcMar>
              <w:top w:w="0" w:type="dxa"/>
              <w:left w:w="108" w:type="dxa"/>
              <w:bottom w:w="0" w:type="dxa"/>
              <w:right w:w="108" w:type="dxa"/>
            </w:tcMar>
            <w:vAlign w:val="center"/>
          </w:tcPr>
          <w:p w14:paraId="098440DD">
            <w:pPr>
              <w:rPr>
                <w:rFonts w:hint="eastAsia" w:ascii="宋体" w:hAnsi="宋体" w:eastAsia="宋体" w:cs="宋体"/>
                <w:sz w:val="24"/>
                <w:szCs w:val="24"/>
                <w:highlight w:val="none"/>
              </w:rPr>
            </w:pPr>
            <w:r>
              <w:rPr>
                <w:rFonts w:hint="eastAsia" w:ascii="宋体" w:hAnsi="宋体" w:eastAsia="宋体" w:cs="宋体"/>
                <w:sz w:val="24"/>
                <w:szCs w:val="24"/>
                <w:highlight w:val="none"/>
              </w:rPr>
              <w:t>性能要求</w:t>
            </w:r>
          </w:p>
        </w:tc>
        <w:tc>
          <w:tcPr>
            <w:tcW w:w="6386" w:type="dxa"/>
            <w:noWrap w:val="0"/>
            <w:tcMar>
              <w:top w:w="0" w:type="dxa"/>
              <w:left w:w="108" w:type="dxa"/>
              <w:bottom w:w="0" w:type="dxa"/>
              <w:right w:w="108" w:type="dxa"/>
            </w:tcMar>
            <w:vAlign w:val="top"/>
          </w:tcPr>
          <w:p w14:paraId="20CCDBF6">
            <w:pPr>
              <w:rPr>
                <w:rFonts w:hint="eastAsia" w:ascii="宋体" w:hAnsi="宋体" w:eastAsia="宋体" w:cs="宋体"/>
                <w:sz w:val="24"/>
                <w:szCs w:val="24"/>
                <w:highlight w:val="none"/>
              </w:rPr>
            </w:pPr>
            <w:r>
              <w:rPr>
                <w:rFonts w:hint="eastAsia" w:ascii="宋体" w:hAnsi="宋体" w:eastAsia="宋体" w:cs="宋体"/>
                <w:sz w:val="24"/>
                <w:szCs w:val="24"/>
                <w:highlight w:val="none"/>
              </w:rPr>
              <w:t>单盘技术指标满足IOPS2000-5000</w:t>
            </w:r>
          </w:p>
        </w:tc>
      </w:tr>
      <w:tr w14:paraId="0DAE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05DB44EF">
            <w:pPr>
              <w:rPr>
                <w:rFonts w:hint="eastAsia" w:ascii="宋体" w:hAnsi="宋体" w:eastAsia="宋体" w:cs="宋体"/>
                <w:sz w:val="24"/>
                <w:szCs w:val="24"/>
                <w:highlight w:val="none"/>
              </w:rPr>
            </w:pPr>
            <w:r>
              <w:rPr>
                <w:rFonts w:hint="eastAsia" w:ascii="宋体" w:hAnsi="宋体" w:eastAsia="宋体" w:cs="宋体"/>
                <w:sz w:val="24"/>
                <w:szCs w:val="24"/>
                <w:highlight w:val="none"/>
              </w:rPr>
              <w:t>使用要求</w:t>
            </w:r>
          </w:p>
        </w:tc>
        <w:tc>
          <w:tcPr>
            <w:tcW w:w="6386" w:type="dxa"/>
            <w:noWrap w:val="0"/>
            <w:tcMar>
              <w:top w:w="0" w:type="dxa"/>
              <w:left w:w="108" w:type="dxa"/>
              <w:bottom w:w="0" w:type="dxa"/>
              <w:right w:w="108" w:type="dxa"/>
            </w:tcMar>
            <w:vAlign w:val="top"/>
          </w:tcPr>
          <w:p w14:paraId="1CA677C4">
            <w:pPr>
              <w:rPr>
                <w:rFonts w:hint="eastAsia" w:ascii="宋体" w:hAnsi="宋体" w:eastAsia="宋体" w:cs="宋体"/>
                <w:sz w:val="24"/>
                <w:szCs w:val="24"/>
                <w:highlight w:val="none"/>
              </w:rPr>
            </w:pPr>
            <w:r>
              <w:rPr>
                <w:rFonts w:hint="eastAsia" w:ascii="宋体" w:hAnsi="宋体" w:eastAsia="宋体" w:cs="宋体"/>
                <w:sz w:val="24"/>
                <w:szCs w:val="24"/>
                <w:highlight w:val="none"/>
              </w:rPr>
              <w:t>用户可以以1G为最小单位进行容量申请，并可以申请直接挂载给云主机使用，同时用户可以将申请到的磁盘空间分配给一台或者多台虚拟机/物理机使用</w:t>
            </w:r>
          </w:p>
        </w:tc>
      </w:tr>
      <w:tr w14:paraId="2A22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4036F282">
            <w:pPr>
              <w:rPr>
                <w:rFonts w:hint="eastAsia" w:ascii="宋体" w:hAnsi="宋体" w:eastAsia="宋体" w:cs="宋体"/>
                <w:sz w:val="24"/>
                <w:szCs w:val="24"/>
                <w:highlight w:val="none"/>
              </w:rPr>
            </w:pPr>
            <w:r>
              <w:rPr>
                <w:rFonts w:hint="eastAsia" w:ascii="宋体" w:hAnsi="宋体" w:eastAsia="宋体" w:cs="宋体"/>
                <w:sz w:val="24"/>
                <w:szCs w:val="24"/>
                <w:highlight w:val="none"/>
              </w:rPr>
              <w:t>架构要求</w:t>
            </w:r>
          </w:p>
        </w:tc>
        <w:tc>
          <w:tcPr>
            <w:tcW w:w="6386" w:type="dxa"/>
            <w:noWrap w:val="0"/>
            <w:tcMar>
              <w:top w:w="0" w:type="dxa"/>
              <w:left w:w="108" w:type="dxa"/>
              <w:bottom w:w="0" w:type="dxa"/>
              <w:right w:w="108" w:type="dxa"/>
            </w:tcMar>
            <w:vAlign w:val="top"/>
          </w:tcPr>
          <w:p w14:paraId="2A857B0B">
            <w:pPr>
              <w:rPr>
                <w:rFonts w:hint="eastAsia" w:ascii="宋体" w:hAnsi="宋体" w:eastAsia="宋体" w:cs="宋体"/>
                <w:sz w:val="24"/>
                <w:szCs w:val="24"/>
                <w:highlight w:val="none"/>
              </w:rPr>
            </w:pPr>
            <w:r>
              <w:rPr>
                <w:rFonts w:hint="eastAsia" w:ascii="宋体" w:hAnsi="宋体" w:eastAsia="宋体" w:cs="宋体"/>
                <w:sz w:val="24"/>
                <w:szCs w:val="24"/>
                <w:highlight w:val="none"/>
              </w:rPr>
              <w:t>系统整体架构无单点故障</w:t>
            </w:r>
          </w:p>
        </w:tc>
      </w:tr>
      <w:tr w14:paraId="0F0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72423797">
            <w:pPr>
              <w:rPr>
                <w:rFonts w:hint="eastAsia" w:ascii="宋体" w:hAnsi="宋体" w:eastAsia="宋体" w:cs="宋体"/>
                <w:sz w:val="24"/>
                <w:szCs w:val="24"/>
                <w:highlight w:val="none"/>
              </w:rPr>
            </w:pPr>
            <w:r>
              <w:rPr>
                <w:rFonts w:hint="eastAsia" w:ascii="宋体" w:hAnsi="宋体" w:eastAsia="宋体" w:cs="宋体"/>
                <w:sz w:val="24"/>
                <w:szCs w:val="24"/>
                <w:highlight w:val="none"/>
              </w:rPr>
              <w:t>可操作性</w:t>
            </w:r>
          </w:p>
        </w:tc>
        <w:tc>
          <w:tcPr>
            <w:tcW w:w="6386" w:type="dxa"/>
            <w:noWrap w:val="0"/>
            <w:tcMar>
              <w:top w:w="0" w:type="dxa"/>
              <w:left w:w="108" w:type="dxa"/>
              <w:bottom w:w="0" w:type="dxa"/>
              <w:right w:w="108" w:type="dxa"/>
            </w:tcMar>
            <w:vAlign w:val="top"/>
          </w:tcPr>
          <w:p w14:paraId="7DCA55B9">
            <w:pPr>
              <w:rPr>
                <w:rFonts w:hint="eastAsia" w:ascii="宋体" w:hAnsi="宋体" w:eastAsia="宋体" w:cs="宋体"/>
                <w:sz w:val="24"/>
                <w:szCs w:val="24"/>
                <w:highlight w:val="none"/>
              </w:rPr>
            </w:pPr>
            <w:r>
              <w:rPr>
                <w:rFonts w:hint="eastAsia" w:ascii="宋体" w:hAnsi="宋体" w:eastAsia="宋体" w:cs="宋体"/>
                <w:sz w:val="24"/>
                <w:szCs w:val="24"/>
                <w:highlight w:val="none"/>
              </w:rPr>
              <w:t>支持通过云管理平台，实现申请部署与使用</w:t>
            </w:r>
          </w:p>
        </w:tc>
      </w:tr>
      <w:tr w14:paraId="5A1A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shd w:val="clear" w:color="auto" w:fill="auto"/>
            <w:noWrap w:val="0"/>
            <w:tcMar>
              <w:top w:w="0" w:type="dxa"/>
              <w:left w:w="108" w:type="dxa"/>
              <w:bottom w:w="0" w:type="dxa"/>
              <w:right w:w="108" w:type="dxa"/>
            </w:tcMar>
            <w:vAlign w:val="center"/>
          </w:tcPr>
          <w:p w14:paraId="2C426290">
            <w:pPr>
              <w:rPr>
                <w:rFonts w:hint="eastAsia" w:ascii="宋体" w:hAnsi="宋体" w:eastAsia="宋体" w:cs="宋体"/>
                <w:sz w:val="24"/>
                <w:szCs w:val="24"/>
                <w:highlight w:val="none"/>
              </w:rPr>
            </w:pPr>
            <w:r>
              <w:rPr>
                <w:rFonts w:hint="eastAsia" w:ascii="宋体" w:hAnsi="宋体" w:eastAsia="宋体" w:cs="宋体"/>
                <w:sz w:val="24"/>
                <w:szCs w:val="24"/>
                <w:highlight w:val="none"/>
              </w:rPr>
              <w:t>基本需求</w:t>
            </w:r>
          </w:p>
        </w:tc>
        <w:tc>
          <w:tcPr>
            <w:tcW w:w="6386" w:type="dxa"/>
            <w:shd w:val="clear" w:color="auto" w:fill="FFFFFF"/>
            <w:noWrap w:val="0"/>
            <w:tcMar>
              <w:top w:w="0" w:type="dxa"/>
              <w:left w:w="108" w:type="dxa"/>
              <w:bottom w:w="0" w:type="dxa"/>
              <w:right w:w="108" w:type="dxa"/>
            </w:tcMar>
            <w:vAlign w:val="center"/>
          </w:tcPr>
          <w:p w14:paraId="270F6608">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#投标人云平台支持通过Web界面对存储文件夹进行增删改查（提供界面功能截图）</w:t>
            </w:r>
          </w:p>
        </w:tc>
      </w:tr>
    </w:tbl>
    <w:p w14:paraId="44F1D46E">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（2）高性能存储</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07"/>
      </w:tblGrid>
      <w:tr w14:paraId="2AA0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200947A7">
            <w:pPr>
              <w:rPr>
                <w:rFonts w:hint="eastAsia" w:ascii="宋体" w:hAnsi="宋体" w:eastAsia="宋体" w:cs="宋体"/>
                <w:sz w:val="24"/>
                <w:szCs w:val="24"/>
                <w:highlight w:val="none"/>
              </w:rPr>
            </w:pPr>
            <w:r>
              <w:rPr>
                <w:rFonts w:hint="eastAsia" w:ascii="宋体" w:hAnsi="宋体" w:eastAsia="宋体" w:cs="宋体"/>
                <w:sz w:val="24"/>
                <w:szCs w:val="24"/>
                <w:highlight w:val="none"/>
              </w:rPr>
              <w:t>指标项</w:t>
            </w:r>
          </w:p>
        </w:tc>
        <w:tc>
          <w:tcPr>
            <w:tcW w:w="6507" w:type="dxa"/>
            <w:noWrap w:val="0"/>
            <w:tcMar>
              <w:top w:w="0" w:type="dxa"/>
              <w:left w:w="108" w:type="dxa"/>
              <w:bottom w:w="0" w:type="dxa"/>
              <w:right w:w="108" w:type="dxa"/>
            </w:tcMar>
            <w:vAlign w:val="top"/>
          </w:tcPr>
          <w:p w14:paraId="43A42E13">
            <w:pPr>
              <w:rPr>
                <w:rFonts w:hint="eastAsia" w:ascii="宋体" w:hAnsi="宋体" w:eastAsia="宋体" w:cs="宋体"/>
                <w:sz w:val="24"/>
                <w:szCs w:val="24"/>
                <w:highlight w:val="none"/>
              </w:rPr>
            </w:pPr>
            <w:r>
              <w:rPr>
                <w:rFonts w:hint="eastAsia" w:ascii="宋体" w:hAnsi="宋体" w:eastAsia="宋体" w:cs="宋体"/>
                <w:sz w:val="24"/>
                <w:szCs w:val="24"/>
                <w:highlight w:val="none"/>
              </w:rPr>
              <w:t>规格要求</w:t>
            </w:r>
          </w:p>
        </w:tc>
      </w:tr>
      <w:tr w14:paraId="40F3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584CC0A3">
            <w:pPr>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6507" w:type="dxa"/>
            <w:noWrap w:val="0"/>
            <w:tcMar>
              <w:top w:w="0" w:type="dxa"/>
              <w:left w:w="108" w:type="dxa"/>
              <w:bottom w:w="0" w:type="dxa"/>
              <w:right w:w="108" w:type="dxa"/>
            </w:tcMar>
            <w:vAlign w:val="top"/>
          </w:tcPr>
          <w:p w14:paraId="1D0E1506">
            <w:pPr>
              <w:rPr>
                <w:rFonts w:hint="eastAsia" w:ascii="宋体" w:hAnsi="宋体" w:eastAsia="宋体" w:cs="宋体"/>
                <w:sz w:val="24"/>
                <w:szCs w:val="24"/>
                <w:highlight w:val="none"/>
              </w:rPr>
            </w:pPr>
            <w:r>
              <w:rPr>
                <w:rFonts w:hint="eastAsia" w:ascii="宋体" w:hAnsi="宋体" w:eastAsia="宋体" w:cs="宋体"/>
                <w:sz w:val="24"/>
                <w:szCs w:val="24"/>
                <w:highlight w:val="none"/>
              </w:rPr>
              <w:t>要求稳定可靠，不会因单一部件故障、单一路径故障等原因导致业务停用、数据丢失，系统可靠性99.9999%</w:t>
            </w:r>
          </w:p>
        </w:tc>
      </w:tr>
      <w:tr w14:paraId="5EF0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65BB7989">
            <w:pPr>
              <w:rPr>
                <w:rFonts w:hint="eastAsia" w:ascii="宋体" w:hAnsi="宋体" w:eastAsia="宋体" w:cs="宋体"/>
                <w:sz w:val="24"/>
                <w:szCs w:val="24"/>
                <w:highlight w:val="none"/>
              </w:rPr>
            </w:pPr>
            <w:r>
              <w:rPr>
                <w:rFonts w:hint="eastAsia" w:ascii="宋体" w:hAnsi="宋体" w:eastAsia="宋体" w:cs="宋体"/>
                <w:sz w:val="24"/>
                <w:szCs w:val="24"/>
                <w:highlight w:val="none"/>
              </w:rPr>
              <w:t>性能要求</w:t>
            </w:r>
          </w:p>
        </w:tc>
        <w:tc>
          <w:tcPr>
            <w:tcW w:w="6507" w:type="dxa"/>
            <w:noWrap w:val="0"/>
            <w:tcMar>
              <w:top w:w="0" w:type="dxa"/>
              <w:left w:w="108" w:type="dxa"/>
              <w:bottom w:w="0" w:type="dxa"/>
              <w:right w:w="108" w:type="dxa"/>
            </w:tcMar>
            <w:vAlign w:val="top"/>
          </w:tcPr>
          <w:p w14:paraId="1A4763B7">
            <w:pPr>
              <w:rPr>
                <w:rFonts w:hint="eastAsia" w:ascii="宋体" w:hAnsi="宋体" w:eastAsia="宋体" w:cs="宋体"/>
                <w:sz w:val="24"/>
                <w:szCs w:val="24"/>
                <w:highlight w:val="none"/>
              </w:rPr>
            </w:pPr>
            <w:r>
              <w:rPr>
                <w:rFonts w:hint="eastAsia" w:ascii="宋体" w:hAnsi="宋体" w:eastAsia="宋体" w:cs="宋体"/>
                <w:sz w:val="24"/>
                <w:szCs w:val="24"/>
                <w:highlight w:val="none"/>
              </w:rPr>
              <w:t>单盘技术指标满足IOPS 10000-25000</w:t>
            </w:r>
          </w:p>
        </w:tc>
      </w:tr>
      <w:tr w14:paraId="1567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6E877C7F">
            <w:pPr>
              <w:rPr>
                <w:rFonts w:hint="eastAsia" w:ascii="宋体" w:hAnsi="宋体" w:eastAsia="宋体" w:cs="宋体"/>
                <w:sz w:val="24"/>
                <w:szCs w:val="24"/>
                <w:highlight w:val="none"/>
              </w:rPr>
            </w:pPr>
            <w:r>
              <w:rPr>
                <w:rFonts w:hint="eastAsia" w:ascii="宋体" w:hAnsi="宋体" w:eastAsia="宋体" w:cs="宋体"/>
                <w:sz w:val="24"/>
                <w:szCs w:val="24"/>
                <w:highlight w:val="none"/>
              </w:rPr>
              <w:t>使用要求</w:t>
            </w:r>
          </w:p>
        </w:tc>
        <w:tc>
          <w:tcPr>
            <w:tcW w:w="6507" w:type="dxa"/>
            <w:noWrap w:val="0"/>
            <w:tcMar>
              <w:top w:w="0" w:type="dxa"/>
              <w:left w:w="108" w:type="dxa"/>
              <w:bottom w:w="0" w:type="dxa"/>
              <w:right w:w="108" w:type="dxa"/>
            </w:tcMar>
            <w:vAlign w:val="top"/>
          </w:tcPr>
          <w:p w14:paraId="64B83595">
            <w:pPr>
              <w:rPr>
                <w:rFonts w:hint="eastAsia" w:ascii="宋体" w:hAnsi="宋体" w:eastAsia="宋体" w:cs="宋体"/>
                <w:sz w:val="24"/>
                <w:szCs w:val="24"/>
                <w:highlight w:val="none"/>
              </w:rPr>
            </w:pPr>
            <w:r>
              <w:rPr>
                <w:rFonts w:hint="eastAsia" w:ascii="宋体" w:hAnsi="宋体" w:eastAsia="宋体" w:cs="宋体"/>
                <w:sz w:val="24"/>
                <w:szCs w:val="24"/>
                <w:highlight w:val="none"/>
              </w:rPr>
              <w:t>用户可以以1G为最小单位进行容量申请，并可以申请直接挂载给云主机使用，同时用户可以将申请到的磁盘空间分配给一台或者多台虚拟机/物理机使用</w:t>
            </w:r>
          </w:p>
        </w:tc>
      </w:tr>
      <w:tr w14:paraId="5C2D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2636E77F">
            <w:pPr>
              <w:rPr>
                <w:rFonts w:hint="eastAsia" w:ascii="宋体" w:hAnsi="宋体" w:eastAsia="宋体" w:cs="宋体"/>
                <w:sz w:val="24"/>
                <w:szCs w:val="24"/>
                <w:highlight w:val="none"/>
              </w:rPr>
            </w:pPr>
            <w:r>
              <w:rPr>
                <w:rFonts w:hint="eastAsia" w:ascii="宋体" w:hAnsi="宋体" w:eastAsia="宋体" w:cs="宋体"/>
                <w:sz w:val="24"/>
                <w:szCs w:val="24"/>
                <w:highlight w:val="none"/>
              </w:rPr>
              <w:t>架构要求</w:t>
            </w:r>
          </w:p>
        </w:tc>
        <w:tc>
          <w:tcPr>
            <w:tcW w:w="6507" w:type="dxa"/>
            <w:noWrap w:val="0"/>
            <w:tcMar>
              <w:top w:w="0" w:type="dxa"/>
              <w:left w:w="108" w:type="dxa"/>
              <w:bottom w:w="0" w:type="dxa"/>
              <w:right w:w="108" w:type="dxa"/>
            </w:tcMar>
            <w:vAlign w:val="top"/>
          </w:tcPr>
          <w:p w14:paraId="69395BC0">
            <w:pPr>
              <w:rPr>
                <w:rFonts w:hint="eastAsia" w:ascii="宋体" w:hAnsi="宋体" w:eastAsia="宋体" w:cs="宋体"/>
                <w:sz w:val="24"/>
                <w:szCs w:val="24"/>
                <w:highlight w:val="none"/>
              </w:rPr>
            </w:pPr>
            <w:r>
              <w:rPr>
                <w:rFonts w:hint="eastAsia" w:ascii="宋体" w:hAnsi="宋体" w:eastAsia="宋体" w:cs="宋体"/>
                <w:sz w:val="24"/>
                <w:szCs w:val="24"/>
                <w:highlight w:val="none"/>
              </w:rPr>
              <w:t>系统整体架构无单点故障</w:t>
            </w:r>
          </w:p>
        </w:tc>
      </w:tr>
      <w:tr w14:paraId="4C09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3853161E">
            <w:pPr>
              <w:rPr>
                <w:rFonts w:hint="eastAsia" w:ascii="宋体" w:hAnsi="宋体" w:eastAsia="宋体" w:cs="宋体"/>
                <w:sz w:val="24"/>
                <w:szCs w:val="24"/>
                <w:highlight w:val="none"/>
              </w:rPr>
            </w:pPr>
            <w:r>
              <w:rPr>
                <w:rFonts w:hint="eastAsia" w:ascii="宋体" w:hAnsi="宋体" w:eastAsia="宋体" w:cs="宋体"/>
                <w:sz w:val="24"/>
                <w:szCs w:val="24"/>
                <w:highlight w:val="none"/>
              </w:rPr>
              <w:t>可操作性</w:t>
            </w:r>
          </w:p>
        </w:tc>
        <w:tc>
          <w:tcPr>
            <w:tcW w:w="6507" w:type="dxa"/>
            <w:noWrap w:val="0"/>
            <w:tcMar>
              <w:top w:w="0" w:type="dxa"/>
              <w:left w:w="108" w:type="dxa"/>
              <w:bottom w:w="0" w:type="dxa"/>
              <w:right w:w="108" w:type="dxa"/>
            </w:tcMar>
            <w:vAlign w:val="top"/>
          </w:tcPr>
          <w:p w14:paraId="7BC20A30">
            <w:pPr>
              <w:rPr>
                <w:rFonts w:hint="eastAsia" w:ascii="宋体" w:hAnsi="宋体" w:eastAsia="宋体" w:cs="宋体"/>
                <w:sz w:val="24"/>
                <w:szCs w:val="24"/>
                <w:highlight w:val="none"/>
              </w:rPr>
            </w:pPr>
            <w:r>
              <w:rPr>
                <w:rFonts w:hint="eastAsia" w:ascii="宋体" w:hAnsi="宋体" w:eastAsia="宋体" w:cs="宋体"/>
                <w:sz w:val="24"/>
                <w:szCs w:val="24"/>
                <w:highlight w:val="none"/>
              </w:rPr>
              <w:t>支持通过云管理平台，实现申请部署与使用</w:t>
            </w:r>
          </w:p>
        </w:tc>
      </w:tr>
    </w:tbl>
    <w:p w14:paraId="1BF9A354">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（3）静态存储</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4"/>
        <w:gridCol w:w="6468"/>
      </w:tblGrid>
      <w:tr w14:paraId="6818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3D74480E">
            <w:pPr>
              <w:rPr>
                <w:rFonts w:hint="eastAsia" w:ascii="宋体" w:hAnsi="宋体" w:eastAsia="宋体" w:cs="宋体"/>
                <w:sz w:val="24"/>
                <w:szCs w:val="24"/>
                <w:highlight w:val="none"/>
              </w:rPr>
            </w:pPr>
            <w:r>
              <w:rPr>
                <w:rFonts w:hint="eastAsia" w:ascii="宋体" w:hAnsi="宋体" w:eastAsia="宋体" w:cs="宋体"/>
                <w:sz w:val="24"/>
                <w:szCs w:val="24"/>
                <w:highlight w:val="none"/>
              </w:rPr>
              <w:t>指标项</w:t>
            </w:r>
          </w:p>
        </w:tc>
        <w:tc>
          <w:tcPr>
            <w:tcW w:w="6468" w:type="dxa"/>
            <w:noWrap w:val="0"/>
            <w:tcMar>
              <w:top w:w="0" w:type="dxa"/>
              <w:left w:w="108" w:type="dxa"/>
              <w:bottom w:w="0" w:type="dxa"/>
              <w:right w:w="108" w:type="dxa"/>
            </w:tcMar>
            <w:vAlign w:val="top"/>
          </w:tcPr>
          <w:p w14:paraId="7D65461F">
            <w:pPr>
              <w:rPr>
                <w:rFonts w:hint="eastAsia" w:ascii="宋体" w:hAnsi="宋体" w:eastAsia="宋体" w:cs="宋体"/>
                <w:sz w:val="24"/>
                <w:szCs w:val="24"/>
                <w:highlight w:val="none"/>
              </w:rPr>
            </w:pPr>
            <w:r>
              <w:rPr>
                <w:rFonts w:hint="eastAsia" w:ascii="宋体" w:hAnsi="宋体" w:eastAsia="宋体" w:cs="宋体"/>
                <w:sz w:val="24"/>
                <w:szCs w:val="24"/>
                <w:highlight w:val="none"/>
              </w:rPr>
              <w:t>规格要求</w:t>
            </w:r>
          </w:p>
        </w:tc>
      </w:tr>
      <w:tr w14:paraId="16C7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787B722E">
            <w:pPr>
              <w:rPr>
                <w:rFonts w:hint="eastAsia" w:ascii="宋体" w:hAnsi="宋体" w:eastAsia="宋体" w:cs="宋体"/>
                <w:sz w:val="24"/>
                <w:szCs w:val="24"/>
                <w:highlight w:val="none"/>
              </w:rPr>
            </w:pPr>
            <w:r>
              <w:rPr>
                <w:rFonts w:hint="eastAsia" w:ascii="宋体" w:hAnsi="宋体" w:eastAsia="宋体" w:cs="宋体"/>
                <w:sz w:val="24"/>
                <w:szCs w:val="24"/>
                <w:highlight w:val="none"/>
              </w:rPr>
              <w:t>可靠性要求</w:t>
            </w:r>
          </w:p>
        </w:tc>
        <w:tc>
          <w:tcPr>
            <w:tcW w:w="6468" w:type="dxa"/>
            <w:noWrap w:val="0"/>
            <w:tcMar>
              <w:top w:w="0" w:type="dxa"/>
              <w:left w:w="108" w:type="dxa"/>
              <w:bottom w:w="0" w:type="dxa"/>
              <w:right w:w="108" w:type="dxa"/>
            </w:tcMar>
            <w:vAlign w:val="top"/>
          </w:tcPr>
          <w:p w14:paraId="36A527BA">
            <w:pPr>
              <w:rPr>
                <w:rFonts w:hint="eastAsia" w:ascii="宋体" w:hAnsi="宋体" w:eastAsia="宋体" w:cs="宋体"/>
                <w:sz w:val="24"/>
                <w:szCs w:val="24"/>
                <w:highlight w:val="none"/>
              </w:rPr>
            </w:pPr>
            <w:r>
              <w:rPr>
                <w:rFonts w:hint="eastAsia" w:ascii="宋体" w:hAnsi="宋体" w:eastAsia="宋体" w:cs="宋体"/>
                <w:sz w:val="24"/>
                <w:szCs w:val="24"/>
                <w:highlight w:val="none"/>
              </w:rPr>
              <w:t>提供静态存储服务，要求稳定可靠，结合其他技术，确保数据可靠性99.999%</w:t>
            </w:r>
          </w:p>
        </w:tc>
      </w:tr>
      <w:tr w14:paraId="6157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133EF0F3">
            <w:pPr>
              <w:rPr>
                <w:rFonts w:hint="eastAsia" w:ascii="宋体" w:hAnsi="宋体" w:eastAsia="宋体" w:cs="宋体"/>
                <w:sz w:val="24"/>
                <w:szCs w:val="24"/>
                <w:highlight w:val="none"/>
              </w:rPr>
            </w:pPr>
            <w:r>
              <w:rPr>
                <w:rFonts w:hint="eastAsia" w:ascii="宋体" w:hAnsi="宋体" w:eastAsia="宋体" w:cs="宋体"/>
                <w:sz w:val="24"/>
                <w:szCs w:val="24"/>
                <w:highlight w:val="none"/>
              </w:rPr>
              <w:t>架构要求</w:t>
            </w:r>
          </w:p>
        </w:tc>
        <w:tc>
          <w:tcPr>
            <w:tcW w:w="6468" w:type="dxa"/>
            <w:noWrap w:val="0"/>
            <w:tcMar>
              <w:top w:w="0" w:type="dxa"/>
              <w:left w:w="108" w:type="dxa"/>
              <w:bottom w:w="0" w:type="dxa"/>
              <w:right w:w="108" w:type="dxa"/>
            </w:tcMar>
            <w:vAlign w:val="top"/>
          </w:tcPr>
          <w:p w14:paraId="0B175202">
            <w:pPr>
              <w:rPr>
                <w:rFonts w:hint="eastAsia" w:ascii="宋体" w:hAnsi="宋体" w:eastAsia="宋体" w:cs="宋体"/>
                <w:sz w:val="24"/>
                <w:szCs w:val="24"/>
                <w:highlight w:val="none"/>
              </w:rPr>
            </w:pPr>
            <w:r>
              <w:rPr>
                <w:rFonts w:hint="eastAsia" w:ascii="宋体" w:hAnsi="宋体" w:eastAsia="宋体" w:cs="宋体"/>
                <w:sz w:val="24"/>
                <w:szCs w:val="24"/>
                <w:highlight w:val="none"/>
              </w:rPr>
              <w:t>采用分布式部署架构，具备PB级以上容量扩展能力，支持存储容量和性能的线性扩展，可根据需求迅速完成空间扩展</w:t>
            </w:r>
          </w:p>
        </w:tc>
      </w:tr>
      <w:tr w14:paraId="22C0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2BCAAC78">
            <w:pPr>
              <w:rPr>
                <w:rFonts w:hint="eastAsia" w:ascii="宋体" w:hAnsi="宋体" w:eastAsia="宋体" w:cs="宋体"/>
                <w:sz w:val="24"/>
                <w:szCs w:val="24"/>
                <w:highlight w:val="none"/>
              </w:rPr>
            </w:pPr>
            <w:r>
              <w:rPr>
                <w:rFonts w:hint="eastAsia" w:ascii="宋体" w:hAnsi="宋体" w:eastAsia="宋体" w:cs="宋体"/>
                <w:sz w:val="24"/>
                <w:szCs w:val="24"/>
                <w:highlight w:val="none"/>
              </w:rPr>
              <w:t>可操作性</w:t>
            </w:r>
          </w:p>
        </w:tc>
        <w:tc>
          <w:tcPr>
            <w:tcW w:w="6468" w:type="dxa"/>
            <w:noWrap w:val="0"/>
            <w:tcMar>
              <w:top w:w="0" w:type="dxa"/>
              <w:left w:w="108" w:type="dxa"/>
              <w:bottom w:w="0" w:type="dxa"/>
              <w:right w:w="108" w:type="dxa"/>
            </w:tcMar>
            <w:vAlign w:val="top"/>
          </w:tcPr>
          <w:p w14:paraId="5DD19075">
            <w:pPr>
              <w:rPr>
                <w:rFonts w:hint="eastAsia" w:ascii="宋体" w:hAnsi="宋体" w:eastAsia="宋体" w:cs="宋体"/>
                <w:sz w:val="24"/>
                <w:szCs w:val="24"/>
                <w:highlight w:val="none"/>
              </w:rPr>
            </w:pPr>
            <w:r>
              <w:rPr>
                <w:rFonts w:hint="eastAsia" w:ascii="宋体" w:hAnsi="宋体" w:eastAsia="宋体" w:cs="宋体"/>
                <w:sz w:val="24"/>
                <w:szCs w:val="24"/>
                <w:highlight w:val="none"/>
              </w:rPr>
              <w:t>支持通过云管理平台，实现存储服务的部署与挂载使用</w:t>
            </w:r>
          </w:p>
        </w:tc>
      </w:tr>
      <w:tr w14:paraId="3621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7BB38292">
            <w:pPr>
              <w:rPr>
                <w:rFonts w:hint="eastAsia" w:ascii="宋体" w:hAnsi="宋体" w:eastAsia="宋体" w:cs="宋体"/>
                <w:sz w:val="24"/>
                <w:szCs w:val="24"/>
                <w:highlight w:val="none"/>
              </w:rPr>
            </w:pPr>
            <w:r>
              <w:rPr>
                <w:rFonts w:hint="eastAsia" w:ascii="宋体" w:hAnsi="宋体" w:eastAsia="宋体" w:cs="宋体"/>
                <w:sz w:val="24"/>
                <w:szCs w:val="24"/>
                <w:highlight w:val="none"/>
              </w:rPr>
              <w:t>可操作性</w:t>
            </w:r>
          </w:p>
        </w:tc>
        <w:tc>
          <w:tcPr>
            <w:tcW w:w="6468" w:type="dxa"/>
            <w:noWrap w:val="0"/>
            <w:tcMar>
              <w:top w:w="0" w:type="dxa"/>
              <w:left w:w="108" w:type="dxa"/>
              <w:bottom w:w="0" w:type="dxa"/>
              <w:right w:w="108" w:type="dxa"/>
            </w:tcMar>
            <w:vAlign w:val="top"/>
          </w:tcPr>
          <w:p w14:paraId="13063BD9">
            <w:pPr>
              <w:rPr>
                <w:rFonts w:hint="eastAsia" w:ascii="宋体" w:hAnsi="宋体" w:eastAsia="宋体" w:cs="宋体"/>
                <w:sz w:val="24"/>
                <w:szCs w:val="24"/>
                <w:highlight w:val="none"/>
              </w:rPr>
            </w:pPr>
            <w:r>
              <w:rPr>
                <w:rFonts w:hint="eastAsia" w:ascii="宋体" w:hAnsi="宋体" w:eastAsia="宋体" w:cs="宋体"/>
                <w:sz w:val="24"/>
                <w:szCs w:val="24"/>
                <w:highlight w:val="none"/>
              </w:rPr>
              <w:t>支持通过云管理平台，实现申请部署与使用</w:t>
            </w:r>
          </w:p>
        </w:tc>
      </w:tr>
    </w:tbl>
    <w:p w14:paraId="3677B9BE">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（4）备份服务</w:t>
      </w:r>
    </w:p>
    <w:p w14:paraId="7B4D6B4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备份策略实现对用户数据（文件、操作系统、数据库）的本地备份/异地备份（不包含备份存储空间费用），默认提供非结构化数据保护、Windows/Linux/Unix操作系统备份保护及对应平台的数据库、文件备份保护。备份服务应满足如下要求:</w:t>
      </w:r>
    </w:p>
    <w:p w14:paraId="4A8BC327">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1）备份介质本身具备高可用性和冗余性。</w:t>
      </w:r>
    </w:p>
    <w:p w14:paraId="6B44C481">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2）备份方式包括完整备份、差异备份和增量备份。</w:t>
      </w:r>
    </w:p>
    <w:p w14:paraId="0B74EFB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3）支持Windows系列操作系统、Linux主流系统操作系统、主流数据库软件、主流中间件软件、结构化数据以及非结构化数据等备份对象。</w:t>
      </w:r>
    </w:p>
    <w:p w14:paraId="07E6FB4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4）支持建立统一的备份管理系统，用来管理本地备份和异地备份。</w:t>
      </w:r>
    </w:p>
    <w:p w14:paraId="18CED92F">
      <w:pPr>
        <w:spacing w:line="400" w:lineRule="exact"/>
        <w:ind w:firstLine="547" w:firstLineChars="228"/>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云服务商应提供对备份过程状态、备份结果提供运维监控保障服务，确保备份任务执行成功以及备份的数据完整性。</w:t>
      </w:r>
    </w:p>
    <w:p w14:paraId="62BACB66">
      <w:pPr>
        <w:spacing w:line="360" w:lineRule="auto"/>
        <w:ind w:firstLine="482" w:firstLineChars="200"/>
        <w:contextualSpacing/>
        <w:outlineLvl w:val="2"/>
        <w:rPr>
          <w:rFonts w:hint="eastAsia" w:ascii="宋体" w:hAnsi="宋体" w:eastAsia="宋体" w:cs="宋体"/>
          <w:b/>
          <w:bCs/>
          <w:sz w:val="24"/>
          <w:szCs w:val="24"/>
          <w:highlight w:val="none"/>
        </w:rPr>
      </w:pPr>
      <w:bookmarkStart w:id="1" w:name="_Toc1700"/>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 xml:space="preserve"> 基础软件支撑服务</w:t>
      </w:r>
      <w:bookmarkEnd w:id="1"/>
    </w:p>
    <w:p w14:paraId="7CC03036">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.1服务内容</w:t>
      </w:r>
    </w:p>
    <w:p w14:paraId="30D78E36">
      <w:pPr>
        <w:pStyle w:val="3"/>
        <w:snapToGrid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按照采购人的有关管理规定及具体需求，提供商用操作系统支撑服务。</w:t>
      </w:r>
    </w:p>
    <w:p w14:paraId="196B8485">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.2服务标准</w:t>
      </w:r>
    </w:p>
    <w:p w14:paraId="65469D67">
      <w:pPr>
        <w:pStyle w:val="3"/>
        <w:snapToGrid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提供主流商业操作系统服务，支持国产Linux操作系统（银河麒麟/中标麒麟/统信等），并提供操作系统的安装部署和各种故障处理。</w:t>
      </w:r>
    </w:p>
    <w:p w14:paraId="235F24A4">
      <w:pPr>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 xml:space="preserve"> 安全服务</w:t>
      </w:r>
    </w:p>
    <w:p w14:paraId="488B904D">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.1服务内容</w:t>
      </w:r>
    </w:p>
    <w:p w14:paraId="75B105F5">
      <w:pPr>
        <w:pStyle w:val="3"/>
        <w:snapToGrid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按照采购人的有关管理规定及具体需求，提供</w:t>
      </w:r>
      <w:r>
        <w:rPr>
          <w:rFonts w:hint="eastAsia" w:ascii="宋体" w:hAnsi="宋体" w:eastAsia="宋体" w:cs="宋体"/>
          <w:i w:val="0"/>
          <w:iCs w:val="0"/>
          <w:color w:val="000000"/>
          <w:kern w:val="0"/>
          <w:sz w:val="24"/>
          <w:szCs w:val="24"/>
          <w:highlight w:val="none"/>
          <w:u w:val="none"/>
          <w:lang w:val="en-US" w:eastAsia="zh-CN" w:bidi="ar"/>
        </w:rPr>
        <w:t>主机杀毒服务、主机安全加固</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服务。</w:t>
      </w:r>
    </w:p>
    <w:p w14:paraId="2533BCB9">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.2服务标准</w:t>
      </w:r>
    </w:p>
    <w:p w14:paraId="4121777B">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）主机杀毒服务</w:t>
      </w:r>
    </w:p>
    <w:p w14:paraId="4DFAF97E">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提供主机杀毒服务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对云主机进行定期的病毒查杀，杀毒软件集中控制，对网络性能无影响。</w:t>
      </w:r>
    </w:p>
    <w:p w14:paraId="144F409E">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）主机安全加固</w:t>
      </w:r>
    </w:p>
    <w:p w14:paraId="30338A1F">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提供主机安全加固服务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针对漏扫或等级测评结果对操作系统进行安全加固，用以解决等级测评结果中所显示的漏洞。</w:t>
      </w:r>
    </w:p>
    <w:p w14:paraId="31EAF074">
      <w:pPr>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en-US" w:eastAsia="zh-CN"/>
        </w:rPr>
        <w:t>安全检测、监测、审计服务</w:t>
      </w:r>
    </w:p>
    <w:p w14:paraId="1B322FAC">
      <w:pPr>
        <w:spacing w:line="360" w:lineRule="auto"/>
        <w:ind w:firstLine="482" w:firstLineChars="200"/>
        <w:contextualSpacing/>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.1服务内容</w:t>
      </w:r>
    </w:p>
    <w:p w14:paraId="1CD2AEA6">
      <w:pPr>
        <w:pStyle w:val="3"/>
        <w:snapToGrid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按照采购人的有关管理规定及具体需求，提供</w:t>
      </w:r>
      <w:r>
        <w:rPr>
          <w:rFonts w:hint="eastAsia" w:ascii="宋体" w:hAnsi="宋体" w:eastAsia="宋体" w:cs="宋体"/>
          <w:i w:val="0"/>
          <w:iCs w:val="0"/>
          <w:color w:val="000000"/>
          <w:kern w:val="0"/>
          <w:sz w:val="24"/>
          <w:szCs w:val="24"/>
          <w:highlight w:val="none"/>
          <w:u w:val="none"/>
          <w:lang w:val="en-US" w:eastAsia="zh-CN" w:bidi="ar"/>
        </w:rPr>
        <w:t>主机漏洞扫描、主机日志分析</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服务。</w:t>
      </w:r>
    </w:p>
    <w:p w14:paraId="77C72E62">
      <w:pPr>
        <w:spacing w:line="360" w:lineRule="auto"/>
        <w:ind w:firstLine="482" w:firstLineChars="200"/>
        <w:contextualSpacing/>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.2服务标准</w:t>
      </w:r>
    </w:p>
    <w:p w14:paraId="57C7EBDD">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）主机漏洞扫描</w:t>
      </w:r>
    </w:p>
    <w:p w14:paraId="7F977EAB">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提供主机漏洞扫描服务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包含但不限于主机层面、数据库层面、应用层面的安全扫描，并反馈相关结果。</w:t>
      </w:r>
    </w:p>
    <w:p w14:paraId="056A88FA">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主机日志</w:t>
      </w:r>
      <w:r>
        <w:rPr>
          <w:rFonts w:hint="eastAsia" w:ascii="宋体" w:hAnsi="宋体" w:eastAsia="宋体" w:cs="宋体"/>
          <w:bCs/>
          <w:sz w:val="24"/>
          <w:szCs w:val="24"/>
          <w:highlight w:val="none"/>
          <w:lang w:val="en-US" w:eastAsia="zh-CN"/>
        </w:rPr>
        <w:t>分析</w:t>
      </w:r>
      <w:r>
        <w:rPr>
          <w:rFonts w:hint="eastAsia" w:ascii="宋体" w:hAnsi="宋体" w:eastAsia="宋体" w:cs="宋体"/>
          <w:bCs/>
          <w:sz w:val="24"/>
          <w:szCs w:val="24"/>
          <w:highlight w:val="none"/>
          <w:lang w:eastAsia="zh-CN"/>
        </w:rPr>
        <w:t>服务</w:t>
      </w:r>
    </w:p>
    <w:p w14:paraId="18965FFB">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contextualSpacing/>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提供</w:t>
      </w:r>
      <w:r>
        <w:rPr>
          <w:rFonts w:hint="eastAsia" w:ascii="宋体" w:hAnsi="宋体" w:eastAsia="宋体" w:cs="宋体"/>
          <w:bCs/>
          <w:sz w:val="24"/>
          <w:szCs w:val="24"/>
          <w:highlight w:val="none"/>
          <w:lang w:eastAsia="zh-CN"/>
        </w:rPr>
        <w:t>主机日志</w:t>
      </w:r>
      <w:r>
        <w:rPr>
          <w:rFonts w:hint="eastAsia" w:ascii="宋体" w:hAnsi="宋体" w:eastAsia="宋体" w:cs="宋体"/>
          <w:bCs/>
          <w:sz w:val="24"/>
          <w:szCs w:val="24"/>
          <w:highlight w:val="none"/>
          <w:lang w:val="en-US" w:eastAsia="zh-CN"/>
        </w:rPr>
        <w:t>分析</w:t>
      </w:r>
      <w:r>
        <w:rPr>
          <w:rFonts w:hint="eastAsia" w:ascii="宋体" w:hAnsi="宋体" w:eastAsia="宋体" w:cs="宋体"/>
          <w:bCs/>
          <w:sz w:val="24"/>
          <w:szCs w:val="24"/>
          <w:highlight w:val="none"/>
          <w:lang w:eastAsia="zh-CN"/>
        </w:rPr>
        <w:t>服务</w:t>
      </w:r>
      <w:r>
        <w:rPr>
          <w:rFonts w:hint="eastAsia" w:ascii="宋体" w:hAnsi="宋体" w:eastAsia="宋体" w:cs="宋体"/>
          <w:bCs/>
          <w:sz w:val="24"/>
          <w:szCs w:val="24"/>
          <w:highlight w:val="none"/>
        </w:rPr>
        <w:t>服务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利用云</w:t>
      </w:r>
      <w:r>
        <w:rPr>
          <w:rFonts w:hint="eastAsia" w:ascii="宋体" w:hAnsi="宋体" w:eastAsia="宋体" w:cs="宋体"/>
          <w:bCs/>
          <w:sz w:val="24"/>
          <w:szCs w:val="24"/>
          <w:highlight w:val="none"/>
          <w:lang w:eastAsia="zh-CN"/>
        </w:rPr>
        <w:t>主机日志</w:t>
      </w:r>
      <w:r>
        <w:rPr>
          <w:rFonts w:hint="eastAsia" w:ascii="宋体" w:hAnsi="宋体" w:eastAsia="宋体" w:cs="宋体"/>
          <w:bCs/>
          <w:sz w:val="24"/>
          <w:szCs w:val="24"/>
          <w:highlight w:val="none"/>
          <w:lang w:val="en-US" w:eastAsia="zh-CN"/>
        </w:rPr>
        <w:t>分析</w:t>
      </w:r>
      <w:r>
        <w:rPr>
          <w:rFonts w:hint="eastAsia" w:ascii="宋体" w:hAnsi="宋体" w:eastAsia="宋体" w:cs="宋体"/>
          <w:bCs/>
          <w:sz w:val="24"/>
          <w:szCs w:val="24"/>
          <w:highlight w:val="none"/>
          <w:lang w:eastAsia="zh-CN"/>
        </w:rPr>
        <w:t>服务</w:t>
      </w:r>
      <w:r>
        <w:rPr>
          <w:rFonts w:hint="eastAsia" w:ascii="宋体" w:hAnsi="宋体" w:eastAsia="宋体" w:cs="宋体"/>
          <w:bCs/>
          <w:sz w:val="24"/>
          <w:szCs w:val="24"/>
          <w:highlight w:val="none"/>
        </w:rPr>
        <w:t>技术对云主机日志进行分析、管理及合规性存储，增强云主机日志方面的监管能力。</w:t>
      </w:r>
    </w:p>
    <w:p w14:paraId="60534402">
      <w:pPr>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 xml:space="preserve"> 服务及培训要求</w:t>
      </w:r>
    </w:p>
    <w:p w14:paraId="03590D12">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（1）日常</w:t>
      </w:r>
      <w:r>
        <w:rPr>
          <w:rFonts w:hint="eastAsia" w:ascii="宋体" w:hAnsi="宋体" w:eastAsia="宋体" w:cs="宋体"/>
          <w:sz w:val="24"/>
          <w:szCs w:val="24"/>
          <w:highlight w:val="none"/>
          <w:lang w:val="en-US" w:eastAsia="zh-CN"/>
        </w:rPr>
        <w:t>运行</w:t>
      </w:r>
      <w:r>
        <w:rPr>
          <w:rFonts w:hint="eastAsia" w:ascii="宋体" w:hAnsi="宋体" w:eastAsia="宋体" w:cs="宋体"/>
          <w:sz w:val="24"/>
          <w:szCs w:val="24"/>
          <w:highlight w:val="none"/>
        </w:rPr>
        <w:t>服务</w:t>
      </w:r>
    </w:p>
    <w:p w14:paraId="65299771">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投标人需利用监控系统或人工对硬件设备及应用系统的运行情况进行7*24小时的不间断巡检监控，及时发现安全隐患，通知相关人员及时处理，并形成监控报告。</w:t>
      </w:r>
    </w:p>
    <w:p w14:paraId="6DEAC598">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投标人负责设立技术支持热线，并安排专人值守，为</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提供7*24小时热线支持服务。</w:t>
      </w:r>
    </w:p>
    <w:p w14:paraId="62F3645A">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（2）故障响应服务</w:t>
      </w:r>
    </w:p>
    <w:p w14:paraId="1A3B217A">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投标人应当提供高效的维护服务，</w:t>
      </w:r>
      <w:r>
        <w:rPr>
          <w:rFonts w:hint="eastAsia" w:ascii="宋体" w:hAnsi="宋体" w:cs="宋体"/>
          <w:sz w:val="24"/>
          <w:szCs w:val="24"/>
          <w:highlight w:val="none"/>
          <w:lang w:eastAsia="zh-CN"/>
        </w:rPr>
        <w:t>制定</w:t>
      </w:r>
      <w:r>
        <w:rPr>
          <w:rFonts w:hint="eastAsia" w:ascii="宋体" w:hAnsi="宋体"/>
          <w:color w:val="000000"/>
          <w:sz w:val="24"/>
          <w:highlight w:val="none"/>
        </w:rPr>
        <w:t>应急组织机构方案</w:t>
      </w:r>
      <w:r>
        <w:rPr>
          <w:rFonts w:hint="eastAsia" w:ascii="宋体" w:hAnsi="宋体"/>
          <w:color w:val="000000"/>
          <w:sz w:val="24"/>
          <w:highlight w:val="none"/>
          <w:lang w:eastAsia="zh-CN"/>
        </w:rPr>
        <w:t>，</w:t>
      </w:r>
      <w:r>
        <w:rPr>
          <w:rFonts w:hint="eastAsia" w:ascii="宋体" w:hAnsi="宋体" w:eastAsia="宋体" w:cs="宋体"/>
          <w:sz w:val="24"/>
          <w:szCs w:val="24"/>
          <w:highlight w:val="none"/>
        </w:rPr>
        <w:t>有效防范系统风险，投标人需保持7*24小时电话畅通。系统发生宕机问题时，投标人应在10分钟内响应，在30分钟之内使系统恢复正常，故障处理完毕后提供相关系统宕机报告。</w:t>
      </w:r>
    </w:p>
    <w:p w14:paraId="67B8ADE2">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（3）特殊时期保障服务</w:t>
      </w:r>
    </w:p>
    <w:p w14:paraId="02464BBE">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投标人应在五一、国庆、汛期（6月1日-9月15日）以及全国（含北京）重大活动</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重要时期</w:t>
      </w:r>
      <w:r>
        <w:rPr>
          <w:rFonts w:hint="eastAsia" w:ascii="宋体" w:hAnsi="宋体" w:cs="宋体"/>
          <w:sz w:val="24"/>
          <w:szCs w:val="24"/>
          <w:highlight w:val="none"/>
          <w:lang w:eastAsia="zh-CN"/>
        </w:rPr>
        <w:t>制定</w:t>
      </w:r>
      <w:r>
        <w:rPr>
          <w:rFonts w:hint="eastAsia" w:ascii="宋体" w:hAnsi="宋体"/>
          <w:color w:val="000000"/>
          <w:sz w:val="24"/>
          <w:highlight w:val="none"/>
        </w:rPr>
        <w:t>保障组织架构方案</w:t>
      </w:r>
      <w:r>
        <w:rPr>
          <w:rFonts w:hint="eastAsia" w:ascii="宋体" w:hAnsi="宋体"/>
          <w:color w:val="000000"/>
          <w:sz w:val="24"/>
          <w:highlight w:val="none"/>
          <w:lang w:eastAsia="zh-CN"/>
        </w:rPr>
        <w:t>，</w:t>
      </w:r>
      <w:r>
        <w:rPr>
          <w:rFonts w:hint="eastAsia" w:ascii="宋体" w:hAnsi="宋体" w:cs="宋体"/>
          <w:sz w:val="24"/>
          <w:szCs w:val="24"/>
          <w:highlight w:val="none"/>
          <w:lang w:eastAsia="zh-CN"/>
        </w:rPr>
        <w:t>按照采购要求增加</w:t>
      </w:r>
      <w:r>
        <w:rPr>
          <w:rFonts w:hint="eastAsia" w:ascii="宋体" w:hAnsi="宋体" w:eastAsia="宋体" w:cs="宋体"/>
          <w:sz w:val="24"/>
          <w:szCs w:val="24"/>
          <w:highlight w:val="none"/>
        </w:rPr>
        <w:t>技术人员，以确保政务云上信息系统在敏感时期安全稳定运行，</w:t>
      </w:r>
      <w:r>
        <w:rPr>
          <w:rFonts w:hint="eastAsia" w:ascii="宋体" w:hAnsi="宋体" w:eastAsia="宋体" w:cs="宋体"/>
          <w:sz w:val="24"/>
          <w:szCs w:val="24"/>
          <w:highlight w:val="none"/>
          <w:lang w:eastAsia="zh-CN"/>
        </w:rPr>
        <w:t>不发生</w:t>
      </w:r>
      <w:r>
        <w:rPr>
          <w:rFonts w:hint="eastAsia" w:ascii="宋体" w:hAnsi="宋体" w:eastAsia="宋体" w:cs="宋体"/>
          <w:sz w:val="24"/>
          <w:szCs w:val="24"/>
          <w:highlight w:val="none"/>
        </w:rPr>
        <w:t>中断</w:t>
      </w:r>
      <w:r>
        <w:rPr>
          <w:rFonts w:hint="eastAsia" w:ascii="宋体" w:hAnsi="宋体" w:eastAsia="宋体" w:cs="宋体"/>
          <w:sz w:val="24"/>
          <w:szCs w:val="24"/>
          <w:highlight w:val="none"/>
          <w:lang w:eastAsia="zh-CN"/>
        </w:rPr>
        <w:t>故障</w:t>
      </w:r>
      <w:r>
        <w:rPr>
          <w:rFonts w:hint="eastAsia" w:ascii="宋体" w:hAnsi="宋体" w:eastAsia="宋体" w:cs="宋体"/>
          <w:sz w:val="24"/>
          <w:szCs w:val="24"/>
          <w:highlight w:val="none"/>
        </w:rPr>
        <w:t>。</w:t>
      </w:r>
    </w:p>
    <w:p w14:paraId="19ABC67B">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尤其在汛期期间，</w:t>
      </w:r>
      <w:r>
        <w:rPr>
          <w:rFonts w:hint="eastAsia" w:ascii="宋体" w:hAnsi="宋体" w:eastAsia="宋体" w:cs="宋体"/>
          <w:sz w:val="24"/>
          <w:szCs w:val="24"/>
          <w:highlight w:val="none"/>
        </w:rPr>
        <w:t>为缓解</w:t>
      </w:r>
      <w:r>
        <w:rPr>
          <w:rFonts w:hint="eastAsia" w:ascii="宋体" w:hAnsi="宋体" w:eastAsia="宋体" w:cs="宋体"/>
          <w:sz w:val="24"/>
          <w:szCs w:val="24"/>
          <w:highlight w:val="none"/>
          <w:lang w:eastAsia="zh-CN"/>
        </w:rPr>
        <w:t>防汛业务</w:t>
      </w:r>
      <w:r>
        <w:rPr>
          <w:rFonts w:hint="eastAsia" w:ascii="宋体" w:hAnsi="宋体" w:eastAsia="宋体" w:cs="宋体"/>
          <w:sz w:val="24"/>
          <w:szCs w:val="24"/>
          <w:highlight w:val="none"/>
        </w:rPr>
        <w:t>系统因业务量</w:t>
      </w:r>
      <w:r>
        <w:rPr>
          <w:rFonts w:hint="eastAsia" w:ascii="宋体" w:hAnsi="宋体" w:eastAsia="宋体" w:cs="宋体"/>
          <w:sz w:val="24"/>
          <w:szCs w:val="24"/>
          <w:highlight w:val="none"/>
          <w:lang w:eastAsia="zh-CN"/>
        </w:rPr>
        <w:t>激增</w:t>
      </w:r>
      <w:r>
        <w:rPr>
          <w:rFonts w:hint="eastAsia" w:ascii="宋体" w:hAnsi="宋体" w:eastAsia="宋体" w:cs="宋体"/>
          <w:sz w:val="24"/>
          <w:szCs w:val="24"/>
          <w:highlight w:val="none"/>
        </w:rPr>
        <w:t>而带来压力风险，要求投标人根据</w:t>
      </w:r>
      <w:r>
        <w:rPr>
          <w:rFonts w:hint="eastAsia" w:ascii="宋体" w:hAnsi="宋体" w:eastAsia="宋体" w:cs="宋体"/>
          <w:sz w:val="24"/>
          <w:szCs w:val="24"/>
          <w:highlight w:val="none"/>
          <w:lang w:eastAsia="zh-CN"/>
        </w:rPr>
        <w:t>防汛</w:t>
      </w:r>
      <w:r>
        <w:rPr>
          <w:rFonts w:hint="eastAsia" w:ascii="宋体" w:hAnsi="宋体" w:eastAsia="宋体" w:cs="宋体"/>
          <w:sz w:val="24"/>
          <w:szCs w:val="24"/>
          <w:highlight w:val="none"/>
        </w:rPr>
        <w:t>业务周期性特点，</w:t>
      </w:r>
      <w:r>
        <w:rPr>
          <w:rFonts w:hint="eastAsia" w:ascii="宋体" w:hAnsi="宋体" w:cs="宋体"/>
          <w:sz w:val="24"/>
          <w:szCs w:val="24"/>
          <w:highlight w:val="none"/>
          <w:lang w:eastAsia="zh-CN"/>
        </w:rPr>
        <w:t>按照采购要求增加</w:t>
      </w:r>
      <w:r>
        <w:rPr>
          <w:rFonts w:hint="eastAsia" w:ascii="宋体" w:hAnsi="宋体" w:eastAsia="宋体" w:cs="宋体"/>
          <w:sz w:val="24"/>
          <w:szCs w:val="24"/>
          <w:highlight w:val="none"/>
        </w:rPr>
        <w:t>技术人员，</w:t>
      </w:r>
      <w:r>
        <w:rPr>
          <w:rFonts w:hint="eastAsia" w:ascii="宋体" w:hAnsi="宋体" w:eastAsia="宋体" w:cs="宋体"/>
          <w:sz w:val="24"/>
          <w:szCs w:val="24"/>
          <w:highlight w:val="none"/>
          <w:lang w:eastAsia="zh-CN"/>
        </w:rPr>
        <w:t>动态合理分配系统云资源，</w:t>
      </w:r>
      <w:r>
        <w:rPr>
          <w:rFonts w:hint="eastAsia" w:ascii="宋体" w:hAnsi="宋体" w:eastAsia="宋体" w:cs="宋体"/>
          <w:sz w:val="24"/>
          <w:szCs w:val="24"/>
          <w:highlight w:val="none"/>
        </w:rPr>
        <w:t>保证</w:t>
      </w:r>
      <w:r>
        <w:rPr>
          <w:rFonts w:hint="eastAsia" w:ascii="宋体" w:hAnsi="宋体" w:eastAsia="宋体" w:cs="宋体"/>
          <w:sz w:val="24"/>
          <w:szCs w:val="24"/>
          <w:highlight w:val="none"/>
          <w:lang w:eastAsia="zh-CN"/>
        </w:rPr>
        <w:t>防汛</w:t>
      </w:r>
      <w:r>
        <w:rPr>
          <w:rFonts w:hint="eastAsia" w:ascii="宋体" w:hAnsi="宋体" w:eastAsia="宋体" w:cs="宋体"/>
          <w:sz w:val="24"/>
          <w:szCs w:val="24"/>
          <w:highlight w:val="none"/>
        </w:rPr>
        <w:t>业务</w:t>
      </w:r>
      <w:r>
        <w:rPr>
          <w:rFonts w:hint="eastAsia" w:ascii="宋体" w:hAnsi="宋体" w:eastAsia="宋体" w:cs="宋体"/>
          <w:sz w:val="24"/>
          <w:szCs w:val="24"/>
          <w:highlight w:val="none"/>
          <w:lang w:eastAsia="zh-CN"/>
        </w:rPr>
        <w:t>系统</w:t>
      </w:r>
      <w:r>
        <w:rPr>
          <w:rFonts w:hint="eastAsia" w:ascii="宋体" w:hAnsi="宋体" w:eastAsia="宋体" w:cs="宋体"/>
          <w:sz w:val="24"/>
          <w:szCs w:val="24"/>
          <w:highlight w:val="none"/>
        </w:rPr>
        <w:t>高峰期内平稳运行。</w:t>
      </w:r>
    </w:p>
    <w:p w14:paraId="6235791B">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服务开通完成时间</w:t>
      </w:r>
    </w:p>
    <w:p w14:paraId="73792234">
      <w:pPr>
        <w:widowControl/>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为有效提升</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应用系统</w:t>
      </w:r>
      <w:r>
        <w:rPr>
          <w:rFonts w:hint="eastAsia" w:ascii="宋体" w:hAnsi="宋体" w:eastAsia="宋体" w:cs="宋体"/>
          <w:sz w:val="24"/>
          <w:szCs w:val="24"/>
          <w:highlight w:val="none"/>
          <w:lang w:val="en-US" w:eastAsia="zh-CN"/>
        </w:rPr>
        <w:t>部署</w:t>
      </w:r>
      <w:r>
        <w:rPr>
          <w:rFonts w:hint="eastAsia" w:ascii="宋体" w:hAnsi="宋体" w:eastAsia="宋体" w:cs="宋体"/>
          <w:sz w:val="24"/>
          <w:szCs w:val="24"/>
          <w:highlight w:val="none"/>
        </w:rPr>
        <w:t>效率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需在合同</w:t>
      </w:r>
      <w:r>
        <w:rPr>
          <w:rFonts w:hint="eastAsia" w:ascii="宋体" w:hAnsi="宋体" w:eastAsia="宋体" w:cs="宋体"/>
          <w:sz w:val="24"/>
          <w:szCs w:val="24"/>
          <w:highlight w:val="none"/>
          <w:lang w:eastAsia="zh-CN"/>
        </w:rPr>
        <w:t>签订后</w:t>
      </w:r>
      <w:r>
        <w:rPr>
          <w:rFonts w:hint="eastAsia" w:ascii="宋体" w:hAnsi="宋体" w:eastAsia="宋体" w:cs="宋体"/>
          <w:sz w:val="24"/>
          <w:szCs w:val="24"/>
          <w:highlight w:val="none"/>
          <w:lang w:val="en-US" w:eastAsia="zh-CN"/>
        </w:rPr>
        <w:t>小于等于5个工作日完成全部租赁资源开通。</w:t>
      </w:r>
    </w:p>
    <w:p w14:paraId="548274A6">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（5）云主机操作培训</w:t>
      </w:r>
    </w:p>
    <w:p w14:paraId="39C562D6">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为有效提升</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应用系统管理人员的工作效率，投标人需向采购人提供包括但不限于政务云计算服务、</w:t>
      </w:r>
      <w:r>
        <w:rPr>
          <w:rFonts w:hint="eastAsia" w:ascii="宋体" w:hAnsi="宋体" w:eastAsia="宋体" w:cs="宋体"/>
          <w:sz w:val="24"/>
          <w:szCs w:val="24"/>
          <w:highlight w:val="none"/>
          <w:lang w:val="en-US" w:eastAsia="zh-CN"/>
        </w:rPr>
        <w:t>平台</w:t>
      </w:r>
      <w:r>
        <w:rPr>
          <w:rFonts w:hint="eastAsia" w:ascii="宋体" w:hAnsi="宋体" w:eastAsia="宋体" w:cs="宋体"/>
          <w:sz w:val="24"/>
          <w:szCs w:val="24"/>
          <w:highlight w:val="none"/>
        </w:rPr>
        <w:t>网络服务、远程接入等内容的培训，具体培训内容根据采购人需求确定，培训次数不少于1次。</w:t>
      </w:r>
    </w:p>
    <w:p w14:paraId="0DEAD3EE">
      <w:pPr>
        <w:widowControl/>
        <w:adjustRightInd w:val="0"/>
        <w:snapToGrid w:val="0"/>
        <w:spacing w:line="360" w:lineRule="auto"/>
        <w:ind w:firstLine="48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）项目团队要求</w:t>
      </w:r>
    </w:p>
    <w:p w14:paraId="12BEBBE6">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投标人针对本项目提供专业性强，高效稳定的项目服务保障团队，为本项目云资源服务提供稳定支撑。投标人应分别配备经验丰富的项目经理和团队执行人员，人员相关要求如下：</w:t>
      </w:r>
    </w:p>
    <w:p w14:paraId="47EBCEC8">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项目经理应具备丰富的政务云实施服务管理经验，</w:t>
      </w:r>
      <w:r>
        <w:rPr>
          <w:rFonts w:hint="eastAsia" w:ascii="宋体" w:hAnsi="宋体" w:eastAsia="宋体" w:cs="宋体"/>
          <w:sz w:val="24"/>
          <w:szCs w:val="24"/>
          <w:highlight w:val="none"/>
          <w:lang w:eastAsia="zh-CN"/>
        </w:rPr>
        <w:t>具有</w:t>
      </w:r>
      <w:r>
        <w:rPr>
          <w:rFonts w:hint="eastAsia" w:ascii="宋体" w:hAnsi="宋体" w:eastAsia="宋体" w:cs="宋体"/>
          <w:sz w:val="24"/>
          <w:szCs w:val="24"/>
          <w:highlight w:val="none"/>
        </w:rPr>
        <w:t>信息系统项目管理师（高级）证书</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系统架构设计师（高级），负责本项目规划和管理，</w:t>
      </w:r>
      <w:r>
        <w:rPr>
          <w:rFonts w:hint="eastAsia" w:ascii="宋体" w:hAnsi="宋体" w:eastAsia="宋体" w:cs="宋体"/>
          <w:kern w:val="0"/>
          <w:sz w:val="24"/>
          <w:szCs w:val="24"/>
          <w:highlight w:val="none"/>
          <w:shd w:val="clear" w:color="auto" w:fill="FFFFFF"/>
        </w:rPr>
        <w:t>全面负责项目的实施、质量管理及与</w:t>
      </w:r>
      <w:r>
        <w:rPr>
          <w:rFonts w:hint="eastAsia" w:ascii="宋体" w:hAnsi="宋体" w:eastAsia="宋体" w:cs="宋体"/>
          <w:sz w:val="24"/>
          <w:szCs w:val="24"/>
          <w:highlight w:val="none"/>
        </w:rPr>
        <w:t>采购人沟通</w:t>
      </w:r>
      <w:r>
        <w:rPr>
          <w:rFonts w:hint="eastAsia" w:ascii="宋体" w:hAnsi="宋体" w:eastAsia="宋体" w:cs="宋体"/>
          <w:kern w:val="0"/>
          <w:sz w:val="24"/>
          <w:szCs w:val="24"/>
          <w:highlight w:val="none"/>
          <w:shd w:val="clear" w:color="auto" w:fill="FFFFFF"/>
        </w:rPr>
        <w:t>协调工作。包括但不限于</w:t>
      </w:r>
      <w:r>
        <w:rPr>
          <w:rFonts w:hint="eastAsia" w:ascii="宋体" w:hAnsi="宋体" w:eastAsia="宋体" w:cs="宋体"/>
          <w:sz w:val="24"/>
          <w:szCs w:val="24"/>
          <w:highlight w:val="none"/>
        </w:rPr>
        <w:t>领导项目团队，分配任务，组织培训，提升团队技能和协作；与采购人和项目团队内部保持沟通，协调资源和技术问题；识别项目风险，监控项目质量和进度，并及时调整策略。</w:t>
      </w:r>
    </w:p>
    <w:p w14:paraId="1B294239">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项目组其他成员应具备丰富的政务云实施服务经验，掌握网络安全、系统架构等技能，主要人员具有系统架构设计师（高级）、信息安全工程师、网络工程师（中级）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网络规划设计师（高级）资格证书，负责但不限于以下职责：</w:t>
      </w:r>
    </w:p>
    <w:p w14:paraId="0A7CDF63">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政务云服务的日常维护、运行状态监控、处理故障、技术支持、协助部署和调试应用系统；评估、审批和实施配置变更，确保合规性和稳定性；制定数据备份策略，执行备份和恢复；收集云主机性能指标和运行数据，实时监控资源使用和应用性能；分析监控数据，生成报告，支持决策制定等。</w:t>
      </w:r>
    </w:p>
    <w:p w14:paraId="72DF0C96">
      <w:pPr>
        <w:spacing w:line="360" w:lineRule="auto"/>
        <w:contextualSpacing/>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（三）验收服务标准</w:t>
      </w:r>
    </w:p>
    <w:p w14:paraId="03DFC91D">
      <w:pPr>
        <w:widowControl/>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服务绩效指标</w:t>
      </w:r>
    </w:p>
    <w:p w14:paraId="65B6BC84">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（1）云服务服务期内整体可用性应不低于99.99%，数据可靠性应不低于99.9999%；</w:t>
      </w:r>
    </w:p>
    <w:p w14:paraId="6771BC4C">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（2）故障响应率100%；</w:t>
      </w:r>
    </w:p>
    <w:p w14:paraId="1B93E301">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（3）应急响应时间≤10分钟。</w:t>
      </w:r>
    </w:p>
    <w:p w14:paraId="2CBFD532">
      <w:pPr>
        <w:widowControl/>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项目验收要求</w:t>
      </w:r>
    </w:p>
    <w:p w14:paraId="74F1BAD5">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（1）投标人所提供的北京市市级政务云基础资源服务应遵循客观、科学、合理的原则，符合《北京市市级政务云管理办法》的相关标准及要求。</w:t>
      </w:r>
    </w:p>
    <w:p w14:paraId="6F57A37E">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（2）投标人所提供资源应满足采购文件规定的要求。保证合同期内系统安全稳定运行。</w:t>
      </w:r>
    </w:p>
    <w:p w14:paraId="2F119904">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bidi="ar"/>
        </w:rPr>
        <w:t>中标人</w:t>
      </w:r>
      <w:r>
        <w:rPr>
          <w:rFonts w:hint="eastAsia" w:ascii="宋体" w:hAnsi="宋体" w:eastAsia="宋体" w:cs="宋体"/>
          <w:sz w:val="24"/>
          <w:szCs w:val="24"/>
          <w:highlight w:val="none"/>
          <w:lang w:val="zh-CN" w:bidi="ar"/>
        </w:rPr>
        <w:t>于合同服务期结束后的15个工作日内向采购人提交验收申请及项目验收材料，采购人在收到验收申请后的5个工作日内，确定具体验收日期。</w:t>
      </w:r>
      <w:r>
        <w:rPr>
          <w:rFonts w:hint="eastAsia" w:ascii="宋体" w:hAnsi="宋体" w:cs="宋体"/>
          <w:sz w:val="24"/>
          <w:szCs w:val="24"/>
          <w:highlight w:val="none"/>
          <w:lang w:val="en-US" w:eastAsia="zh-CN"/>
        </w:rPr>
        <w:t>中</w:t>
      </w:r>
      <w:r>
        <w:rPr>
          <w:rFonts w:hint="eastAsia" w:ascii="宋体" w:hAnsi="宋体" w:eastAsia="宋体" w:cs="宋体"/>
          <w:sz w:val="24"/>
          <w:szCs w:val="24"/>
          <w:highlight w:val="none"/>
        </w:rPr>
        <w:t>标人应当在采购人指定的验收日前向采购人提交验收报告。验收报告的内容包括但不限于合同规定的各项服务</w:t>
      </w:r>
      <w:r>
        <w:rPr>
          <w:rFonts w:hint="eastAsia" w:ascii="宋体" w:hAnsi="宋体" w:eastAsia="宋体" w:cs="宋体"/>
          <w:sz w:val="24"/>
          <w:szCs w:val="24"/>
          <w:highlight w:val="none"/>
          <w:lang w:val="en-US" w:eastAsia="zh-CN"/>
        </w:rPr>
        <w:t>情况和</w:t>
      </w:r>
      <w:r>
        <w:rPr>
          <w:rFonts w:hint="eastAsia" w:ascii="宋体" w:hAnsi="宋体" w:eastAsia="宋体" w:cs="宋体"/>
          <w:sz w:val="24"/>
          <w:szCs w:val="24"/>
          <w:highlight w:val="none"/>
        </w:rPr>
        <w:t>系统运行情况。</w:t>
      </w:r>
    </w:p>
    <w:p w14:paraId="0CCD9F05">
      <w:pPr>
        <w:widowControl/>
        <w:adjustRightInd w:val="0"/>
        <w:snapToGri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（4）服务期届满，投标人按照采购人要求完成所有项目</w:t>
      </w:r>
      <w:r>
        <w:rPr>
          <w:rFonts w:hint="eastAsia" w:ascii="宋体" w:hAnsi="宋体" w:eastAsia="宋体" w:cs="宋体"/>
          <w:sz w:val="24"/>
          <w:szCs w:val="24"/>
          <w:highlight w:val="none"/>
          <w:lang w:val="en-US" w:eastAsia="zh-CN"/>
        </w:rPr>
        <w:t>服务内容，</w:t>
      </w:r>
      <w:r>
        <w:rPr>
          <w:rFonts w:hint="eastAsia" w:ascii="宋体" w:hAnsi="宋体" w:eastAsia="宋体" w:cs="宋体"/>
          <w:sz w:val="24"/>
          <w:szCs w:val="24"/>
          <w:highlight w:val="none"/>
        </w:rPr>
        <w:t>各项记录、报告等文档齐全，无任何系统遗留问题，并通过由采购人组织的专家验收评审，方可通过验收。</w:t>
      </w:r>
    </w:p>
    <w:p w14:paraId="1835E93C">
      <w:pPr>
        <w:spacing w:line="360" w:lineRule="auto"/>
        <w:contextualSpacing/>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（四）其他要求</w:t>
      </w:r>
    </w:p>
    <w:p w14:paraId="30290C3C">
      <w:pPr>
        <w:widowControl/>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保密要求</w:t>
      </w:r>
    </w:p>
    <w:p w14:paraId="12E2A467">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03F9AF6E">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5CE4F64C">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（3）投标人保证将保密信息的披露范围严格控制在直接从事该项目工作且因工作需要有必要知悉保密信息的工作人员范围内,对投标人非从事该项目的人员一律严格保密。</w:t>
      </w:r>
    </w:p>
    <w:p w14:paraId="538A9CE8">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2C5AFC78">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（5）任何时间内，一经采购人提出要求，投标人应按照采购人指示在收到采购人书面通知后 5 日内将含有保密信息的所有文件或其他资料归还采购人，且不得擅自复制留存。</w:t>
      </w:r>
    </w:p>
    <w:p w14:paraId="10830CA0">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（6）非经采购人特别授权，采购人向投标人提供的任何保密信息并不包括授予投标人该保密信息包含的任何专利权、商标权、著作权、商业秘密或其它类型的知识产权。</w:t>
      </w:r>
    </w:p>
    <w:p w14:paraId="2038F602">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（7）投标人承担上述保密义务的期限为合同有效期间及合同终止后2年，承担上述保密义务的责任主体为投标人（含投标人服务人员）。</w:t>
      </w:r>
    </w:p>
    <w:p w14:paraId="28EC28DB">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0796E958">
      <w:pPr>
        <w:widowControl/>
        <w:adjustRightInd w:val="0"/>
        <w:snapToGrid w:val="0"/>
        <w:spacing w:line="360" w:lineRule="auto"/>
        <w:ind w:firstLine="48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（9）投标人应当对获悉的政务数据、个人信息等予以保密，不得用于其他用途，不得泄露、出售或者非法向他人提供。</w:t>
      </w:r>
    </w:p>
    <w:p w14:paraId="5FE8C6DB">
      <w:pPr>
        <w:widowControl/>
        <w:spacing w:line="360" w:lineRule="auto"/>
        <w:ind w:firstLine="482" w:firstLineChars="200"/>
        <w:contextualSpacing/>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知识产权要求</w:t>
      </w:r>
    </w:p>
    <w:p w14:paraId="010494E8">
      <w:pPr>
        <w:widowControl/>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（1）投标人应确保本项目所提交成果无知识产权纠纷，项目成果的知识产权属于项目委托方。须在响应文件中对此项作出专项承诺，格式自拟。</w:t>
      </w:r>
    </w:p>
    <w:p w14:paraId="637C4380">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6FD42A7E">
      <w:pPr>
        <w:widowControl/>
        <w:adjustRightInd w:val="0"/>
        <w:snapToGrid w:val="0"/>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3、文档要求</w:t>
      </w:r>
    </w:p>
    <w:p w14:paraId="47C7A3E9">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服务结束后，投标人按要求提交服务总结报告，内容包括但不限于采购需求服务内容中要求的服务成果文件以及期间开展工作的过程记录等，以便采购人全面准确的了解服务实施情况。</w:t>
      </w:r>
    </w:p>
    <w:p w14:paraId="71841C87">
      <w:pPr>
        <w:pStyle w:val="7"/>
        <w:spacing w:line="360" w:lineRule="auto"/>
        <w:ind w:left="0" w:leftChars="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投标人每月结束后的10个工作日内，向采购人提供《月度服务总结</w:t>
      </w:r>
      <w:r>
        <w:rPr>
          <w:rFonts w:hint="eastAsia" w:ascii="宋体" w:hAnsi="宋体" w:eastAsia="宋体" w:cs="宋体"/>
          <w:sz w:val="24"/>
          <w:szCs w:val="24"/>
          <w:highlight w:val="none"/>
          <w:lang w:eastAsia="zh-CN"/>
        </w:rPr>
        <w:t>报告</w:t>
      </w:r>
      <w:r>
        <w:rPr>
          <w:rFonts w:hint="eastAsia" w:ascii="宋体" w:hAnsi="宋体" w:eastAsia="宋体" w:cs="宋体"/>
          <w:sz w:val="24"/>
          <w:szCs w:val="24"/>
          <w:highlight w:val="none"/>
        </w:rPr>
        <w:t>》，以便采购人全面准确的了解服务实施情况。</w:t>
      </w:r>
    </w:p>
    <w:p w14:paraId="6ECC9438">
      <w:pPr>
        <w:pStyle w:val="7"/>
        <w:spacing w:line="360" w:lineRule="auto"/>
        <w:ind w:left="0" w:leftChars="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《月度服务总结》内容包括但不限于以下内容：</w:t>
      </w:r>
    </w:p>
    <w:p w14:paraId="36D8FF50">
      <w:pPr>
        <w:pStyle w:val="7"/>
        <w:spacing w:line="360" w:lineRule="auto"/>
        <w:ind w:left="0" w:leftChars="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（1）服务情况的总结。对上个月度的</w:t>
      </w:r>
      <w:r>
        <w:rPr>
          <w:rFonts w:hint="eastAsia" w:ascii="宋体" w:hAnsi="宋体" w:eastAsia="宋体" w:cs="宋体"/>
          <w:sz w:val="24"/>
          <w:szCs w:val="24"/>
          <w:highlight w:val="none"/>
          <w:lang w:eastAsia="zh-CN"/>
        </w:rPr>
        <w:t>所提供服务</w:t>
      </w:r>
      <w:r>
        <w:rPr>
          <w:rFonts w:hint="eastAsia" w:ascii="宋体" w:hAnsi="宋体" w:eastAsia="宋体" w:cs="宋体"/>
          <w:sz w:val="24"/>
          <w:szCs w:val="24"/>
          <w:highlight w:val="none"/>
        </w:rPr>
        <w:t>整体运行情况进行总结，统计</w:t>
      </w:r>
      <w:r>
        <w:rPr>
          <w:rFonts w:hint="eastAsia" w:ascii="宋体" w:hAnsi="宋体" w:eastAsia="宋体" w:cs="宋体"/>
          <w:sz w:val="24"/>
          <w:szCs w:val="24"/>
          <w:highlight w:val="none"/>
          <w:lang w:eastAsia="zh-CN"/>
        </w:rPr>
        <w:t>服务内容开展情况及云资源利用率</w:t>
      </w:r>
      <w:r>
        <w:rPr>
          <w:rFonts w:hint="eastAsia" w:ascii="宋体" w:hAnsi="宋体" w:eastAsia="宋体" w:cs="宋体"/>
          <w:sz w:val="24"/>
          <w:szCs w:val="24"/>
          <w:highlight w:val="none"/>
        </w:rPr>
        <w:t>；评估</w:t>
      </w:r>
      <w:r>
        <w:rPr>
          <w:rFonts w:hint="eastAsia" w:ascii="宋体" w:hAnsi="宋体" w:eastAsia="宋体" w:cs="宋体"/>
          <w:sz w:val="24"/>
          <w:szCs w:val="24"/>
          <w:highlight w:val="none"/>
          <w:lang w:eastAsia="zh-CN"/>
        </w:rPr>
        <w:t>每项服务</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开展</w:t>
      </w:r>
      <w:r>
        <w:rPr>
          <w:rFonts w:hint="eastAsia" w:ascii="宋体" w:hAnsi="宋体" w:eastAsia="宋体" w:cs="宋体"/>
          <w:sz w:val="24"/>
          <w:szCs w:val="24"/>
          <w:highlight w:val="none"/>
        </w:rPr>
        <w:t>效果；总结分析遗留问题处理情况。</w:t>
      </w:r>
    </w:p>
    <w:p w14:paraId="4D9CF42F">
      <w:pPr>
        <w:pStyle w:val="7"/>
        <w:spacing w:line="360" w:lineRule="auto"/>
        <w:ind w:left="0" w:leftChars="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故障统计及分析</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本月所提供服务范围内发生的</w:t>
      </w:r>
      <w:r>
        <w:rPr>
          <w:rFonts w:hint="eastAsia" w:ascii="宋体" w:hAnsi="宋体" w:eastAsia="宋体" w:cs="宋体"/>
          <w:sz w:val="24"/>
          <w:szCs w:val="24"/>
          <w:highlight w:val="none"/>
        </w:rPr>
        <w:t>故障</w:t>
      </w:r>
      <w:r>
        <w:rPr>
          <w:rFonts w:hint="eastAsia" w:ascii="宋体" w:hAnsi="宋体" w:eastAsia="宋体" w:cs="宋体"/>
          <w:sz w:val="24"/>
          <w:szCs w:val="24"/>
          <w:highlight w:val="none"/>
          <w:lang w:eastAsia="zh-CN"/>
        </w:rPr>
        <w:t>进行统计分析，对故障</w:t>
      </w:r>
      <w:r>
        <w:rPr>
          <w:rFonts w:hint="eastAsia" w:ascii="宋体" w:hAnsi="宋体" w:eastAsia="宋体" w:cs="宋体"/>
          <w:sz w:val="24"/>
          <w:szCs w:val="24"/>
          <w:highlight w:val="none"/>
        </w:rPr>
        <w:t>的发生原因、处理过程和处理结果进行详细说明，并给出预防该类故障再次发生的建议；</w:t>
      </w:r>
    </w:p>
    <w:p w14:paraId="2F12F7B9">
      <w:r>
        <w:rPr>
          <w:rFonts w:hint="eastAsia" w:ascii="宋体" w:hAnsi="宋体" w:eastAsia="宋体" w:cs="宋体"/>
          <w:sz w:val="24"/>
          <w:szCs w:val="24"/>
          <w:highlight w:val="none"/>
        </w:rPr>
        <w:t>（3）计划执行分析。分析</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计划执行情况，对计划未执行项或未按时执行项进行原因分析，分析隐含问题。当出现服务质量问题，需提出分析报告和整改措施。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FF28F4"/>
    <w:multiLevelType w:val="singleLevel"/>
    <w:tmpl w:val="6DFF28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8396C"/>
    <w:rsid w:val="1AF1038D"/>
    <w:rsid w:val="3522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正文"/>
    <w:basedOn w:val="1"/>
    <w:qFormat/>
    <w:uiPriority w:val="0"/>
    <w:pPr>
      <w:spacing w:after="0" w:line="288" w:lineRule="auto"/>
      <w:ind w:left="100" w:leftChars="100" w:firstLine="200" w:firstLineChars="200"/>
    </w:pPr>
    <w:rPr>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9828</Words>
  <Characters>10936</Characters>
  <Lines>0</Lines>
  <Paragraphs>0</Paragraphs>
  <TotalTime>0</TotalTime>
  <ScaleCrop>false</ScaleCrop>
  <LinksUpToDate>false</LinksUpToDate>
  <CharactersWithSpaces>11033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2026-04-03T02:30:00Z</dcterms:created>
  <dc:creator>zhhx</dc:creator>
  <cp:lastModifiedBy>高</cp:lastModifiedBy>
  <dcterms:modified xsi:type="dcterms:W3CDTF">2026-04-03T03:21:08Z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2C0859F1ED334DF2B8F154E60A844524_12</vt:lpwstr>
  </property>
</Properties>
</file>